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43C91">
      <w:pPr>
        <w:pStyle w:val="6"/>
        <w:shd w:val="clear"/>
        <w:spacing w:line="240" w:lineRule="auto"/>
        <w:jc w:val="center"/>
        <w:rPr>
          <w:rFonts w:hint="eastAsia" w:ascii="仿宋" w:hAnsi="仿宋" w:eastAsia="仿宋" w:cs="仿宋"/>
          <w:bCs w:val="0"/>
          <w:kern w:val="2"/>
          <w:sz w:val="48"/>
          <w:szCs w:val="28"/>
          <w:highlight w:val="none"/>
          <w:lang w:eastAsia="zh-CN"/>
          <w14:ligatures w14:val="none"/>
        </w:rPr>
      </w:pPr>
    </w:p>
    <w:p w14:paraId="71B94110">
      <w:pPr>
        <w:pStyle w:val="7"/>
        <w:shd w:val="clear"/>
        <w:rPr>
          <w:rFonts w:hint="eastAsia" w:ascii="仿宋" w:hAnsi="仿宋" w:eastAsia="仿宋" w:cs="仿宋"/>
          <w:bCs w:val="0"/>
          <w:kern w:val="2"/>
          <w:sz w:val="48"/>
          <w:szCs w:val="28"/>
          <w:highlight w:val="none"/>
          <w:lang w:eastAsia="zh-CN"/>
          <w14:ligatures w14:val="none"/>
        </w:rPr>
      </w:pPr>
    </w:p>
    <w:p w14:paraId="774F07CC">
      <w:pPr>
        <w:shd w:val="clear"/>
        <w:rPr>
          <w:rFonts w:hint="eastAsia" w:ascii="仿宋" w:hAnsi="仿宋" w:eastAsia="仿宋" w:cs="仿宋"/>
          <w:highlight w:val="none"/>
          <w:lang w:eastAsia="zh-CN"/>
        </w:rPr>
      </w:pPr>
    </w:p>
    <w:p w14:paraId="3C914B36">
      <w:pPr>
        <w:pStyle w:val="6"/>
        <w:shd w:val="clear"/>
        <w:spacing w:line="240" w:lineRule="auto"/>
        <w:jc w:val="center"/>
        <w:rPr>
          <w:rFonts w:hint="eastAsia" w:ascii="仿宋" w:hAnsi="仿宋" w:eastAsia="仿宋" w:cs="仿宋"/>
          <w:b/>
          <w:bCs/>
          <w:sz w:val="24"/>
          <w:szCs w:val="24"/>
          <w:highlight w:val="none"/>
        </w:rPr>
      </w:pPr>
      <w:r>
        <w:rPr>
          <w:rFonts w:hint="eastAsia" w:ascii="仿宋" w:hAnsi="仿宋" w:eastAsia="仿宋" w:cs="仿宋"/>
          <w:bCs w:val="0"/>
          <w:kern w:val="2"/>
          <w:sz w:val="48"/>
          <w:szCs w:val="28"/>
          <w:highlight w:val="none"/>
          <w:lang w:eastAsia="zh-CN"/>
          <w14:ligatures w14:val="none"/>
        </w:rPr>
        <w:t>成都三博东篱医院有限公司</w:t>
      </w:r>
    </w:p>
    <w:p w14:paraId="694A1395">
      <w:pPr>
        <w:pStyle w:val="6"/>
        <w:shd w:val="clear"/>
        <w:spacing w:line="240" w:lineRule="auto"/>
        <w:jc w:val="center"/>
        <w:rPr>
          <w:rFonts w:hint="eastAsia" w:ascii="仿宋" w:hAnsi="仿宋" w:eastAsia="仿宋" w:cs="仿宋"/>
          <w:bCs w:val="0"/>
          <w:kern w:val="2"/>
          <w:sz w:val="40"/>
          <w:szCs w:val="22"/>
          <w:highlight w:val="none"/>
          <w:lang w:eastAsia="zh-CN"/>
          <w14:ligatures w14:val="none"/>
        </w:rPr>
      </w:pPr>
    </w:p>
    <w:p w14:paraId="18ADC983">
      <w:pPr>
        <w:pStyle w:val="6"/>
        <w:shd w:val="clear"/>
        <w:spacing w:line="240" w:lineRule="auto"/>
        <w:jc w:val="center"/>
        <w:rPr>
          <w:rFonts w:hint="eastAsia" w:ascii="仿宋" w:hAnsi="仿宋" w:eastAsia="仿宋" w:cs="仿宋"/>
          <w:bCs w:val="0"/>
          <w:kern w:val="2"/>
          <w:sz w:val="40"/>
          <w:szCs w:val="22"/>
          <w:highlight w:val="none"/>
          <w:lang w:eastAsia="zh-CN"/>
          <w14:ligatures w14:val="none"/>
        </w:rPr>
      </w:pPr>
    </w:p>
    <w:p w14:paraId="7A6162D2">
      <w:pPr>
        <w:pStyle w:val="6"/>
        <w:keepNext w:val="0"/>
        <w:keepLines w:val="0"/>
        <w:pageBreakBefore w:val="0"/>
        <w:widowControl w:val="0"/>
        <w:shd w:val="clear"/>
        <w:tabs>
          <w:tab w:val="center" w:pos="4595"/>
          <w:tab w:val="right" w:pos="9070"/>
        </w:tabs>
        <w:kinsoku/>
        <w:wordWrap/>
        <w:overflowPunct/>
        <w:topLinePunct w:val="0"/>
        <w:autoSpaceDE/>
        <w:autoSpaceDN/>
        <w:bidi w:val="0"/>
        <w:adjustRightInd/>
        <w:snapToGrid/>
        <w:spacing w:line="240" w:lineRule="auto"/>
        <w:jc w:val="left"/>
        <w:textAlignment w:val="auto"/>
        <w:rPr>
          <w:rFonts w:hint="eastAsia" w:ascii="仿宋" w:hAnsi="仿宋" w:eastAsia="仿宋" w:cs="仿宋"/>
          <w:bCs w:val="0"/>
          <w:kern w:val="2"/>
          <w:sz w:val="40"/>
          <w:szCs w:val="22"/>
          <w:highlight w:val="none"/>
          <w:lang w:eastAsia="zh-CN"/>
          <w14:ligatures w14:val="none"/>
        </w:rPr>
      </w:pPr>
      <w:r>
        <w:rPr>
          <w:rFonts w:hint="eastAsia" w:ascii="仿宋" w:hAnsi="仿宋" w:eastAsia="仿宋" w:cs="仿宋"/>
          <w:bCs w:val="0"/>
          <w:kern w:val="2"/>
          <w:sz w:val="40"/>
          <w:szCs w:val="22"/>
          <w:highlight w:val="none"/>
          <w:lang w:eastAsia="zh-CN"/>
          <w14:ligatures w14:val="none"/>
        </w:rPr>
        <w:tab/>
      </w:r>
      <w:r>
        <w:rPr>
          <w:rFonts w:hint="eastAsia" w:ascii="仿宋" w:hAnsi="仿宋" w:eastAsia="仿宋" w:cs="仿宋"/>
          <w:bCs w:val="0"/>
          <w:kern w:val="2"/>
          <w:sz w:val="40"/>
          <w:szCs w:val="22"/>
          <w:highlight w:val="none"/>
          <w:lang w:eastAsia="zh-CN"/>
          <w14:ligatures w14:val="none"/>
        </w:rPr>
        <w:t>成都三博东篱医院</w:t>
      </w:r>
      <w:r>
        <w:rPr>
          <w:rFonts w:hint="eastAsia" w:ascii="仿宋" w:hAnsi="仿宋" w:eastAsia="仿宋" w:cs="仿宋"/>
          <w:bCs w:val="0"/>
          <w:kern w:val="2"/>
          <w:sz w:val="40"/>
          <w:szCs w:val="22"/>
          <w:highlight w:val="none"/>
          <w:lang w:eastAsia="zh-CN"/>
          <w14:ligatures w14:val="none"/>
        </w:rPr>
        <w:tab/>
      </w:r>
    </w:p>
    <w:p w14:paraId="7CB6A153">
      <w:pPr>
        <w:pStyle w:val="6"/>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仿宋" w:hAnsi="仿宋" w:eastAsia="仿宋" w:cs="仿宋"/>
          <w:bCs w:val="0"/>
          <w:kern w:val="2"/>
          <w:sz w:val="40"/>
          <w:szCs w:val="22"/>
          <w:highlight w:val="none"/>
          <w:lang w:eastAsia="zh-CN"/>
          <w14:ligatures w14:val="none"/>
        </w:rPr>
      </w:pPr>
      <w:r>
        <w:rPr>
          <w:rFonts w:hint="eastAsia" w:ascii="仿宋" w:hAnsi="仿宋" w:eastAsia="仿宋" w:cs="仿宋"/>
          <w:bCs w:val="0"/>
          <w:kern w:val="2"/>
          <w:sz w:val="40"/>
          <w:szCs w:val="22"/>
          <w:highlight w:val="none"/>
          <w:lang w:eastAsia="zh-CN"/>
          <w14:ligatures w14:val="none"/>
        </w:rPr>
        <w:t>医保智能审核和DRG精细化管理系统建设项目</w:t>
      </w:r>
    </w:p>
    <w:p w14:paraId="62B98707">
      <w:pPr>
        <w:pStyle w:val="6"/>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仿宋" w:hAnsi="仿宋" w:eastAsia="仿宋" w:cs="仿宋"/>
          <w:bCs w:val="0"/>
          <w:sz w:val="72"/>
          <w:szCs w:val="24"/>
          <w:highlight w:val="none"/>
          <w14:ligatures w14:val="none"/>
        </w:rPr>
      </w:pPr>
      <w:r>
        <w:rPr>
          <w:rFonts w:hint="eastAsia" w:ascii="仿宋" w:hAnsi="仿宋" w:eastAsia="仿宋" w:cs="仿宋"/>
          <w:bCs w:val="0"/>
          <w:sz w:val="72"/>
          <w:szCs w:val="24"/>
          <w:highlight w:val="none"/>
          <w:lang w:eastAsia="zh-CN"/>
          <w14:ligatures w14:val="none"/>
        </w:rPr>
        <w:t>招标</w:t>
      </w:r>
      <w:r>
        <w:rPr>
          <w:rFonts w:hint="eastAsia" w:ascii="仿宋" w:hAnsi="仿宋" w:eastAsia="仿宋" w:cs="仿宋"/>
          <w:bCs w:val="0"/>
          <w:sz w:val="72"/>
          <w:szCs w:val="24"/>
          <w:highlight w:val="none"/>
          <w14:ligatures w14:val="none"/>
        </w:rPr>
        <w:t>文件</w:t>
      </w:r>
    </w:p>
    <w:p w14:paraId="777097DB">
      <w:pPr>
        <w:keepNext w:val="0"/>
        <w:keepLines w:val="0"/>
        <w:pageBreakBefore w:val="0"/>
        <w:widowControl w:val="0"/>
        <w:shd w:val="clear"/>
        <w:kinsoku/>
        <w:wordWrap/>
        <w:overflowPunct/>
        <w:topLinePunct w:val="0"/>
        <w:autoSpaceDE/>
        <w:autoSpaceDN/>
        <w:bidi w:val="0"/>
        <w:adjustRightInd/>
        <w:snapToGrid/>
        <w:spacing w:after="0" w:line="240" w:lineRule="auto"/>
        <w:ind w:right="17"/>
        <w:jc w:val="center"/>
        <w:textAlignment w:val="auto"/>
        <w:rPr>
          <w:rFonts w:hint="eastAsia" w:ascii="仿宋" w:hAnsi="仿宋" w:eastAsia="仿宋" w:cs="仿宋"/>
          <w:sz w:val="24"/>
          <w:szCs w:val="24"/>
          <w:highlight w:val="none"/>
          <w:lang w:eastAsia="zh-CN"/>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lang w:eastAsia="zh-CN"/>
        </w:rPr>
        <w:t>cddl-xxb-2026-031</w:t>
      </w:r>
    </w:p>
    <w:p w14:paraId="6ECF2197">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highlight w:val="none"/>
        </w:rPr>
      </w:pPr>
    </w:p>
    <w:p w14:paraId="70C06F54">
      <w:pPr>
        <w:shd w:val="clear"/>
        <w:rPr>
          <w:rFonts w:hint="eastAsia" w:ascii="仿宋" w:hAnsi="仿宋" w:eastAsia="仿宋" w:cs="仿宋"/>
          <w:b/>
          <w:bCs/>
          <w:sz w:val="24"/>
          <w:szCs w:val="24"/>
          <w:highlight w:val="none"/>
        </w:rPr>
      </w:pPr>
    </w:p>
    <w:p w14:paraId="04051218">
      <w:pPr>
        <w:shd w:val="clear"/>
        <w:rPr>
          <w:rFonts w:hint="eastAsia" w:ascii="仿宋" w:hAnsi="仿宋" w:eastAsia="仿宋" w:cs="仿宋"/>
          <w:b/>
          <w:bCs/>
          <w:sz w:val="24"/>
          <w:szCs w:val="24"/>
          <w:highlight w:val="none"/>
        </w:rPr>
      </w:pPr>
    </w:p>
    <w:p w14:paraId="47C8F5AA">
      <w:pPr>
        <w:shd w:val="clear"/>
        <w:rPr>
          <w:rFonts w:hint="eastAsia" w:ascii="仿宋" w:hAnsi="仿宋" w:eastAsia="仿宋" w:cs="仿宋"/>
          <w:b/>
          <w:bCs/>
          <w:sz w:val="24"/>
          <w:szCs w:val="24"/>
          <w:highlight w:val="none"/>
        </w:rPr>
      </w:pPr>
    </w:p>
    <w:p w14:paraId="18C21BE7">
      <w:pPr>
        <w:shd w:val="clear"/>
        <w:rPr>
          <w:rFonts w:hint="eastAsia" w:ascii="仿宋" w:hAnsi="仿宋" w:eastAsia="仿宋" w:cs="仿宋"/>
          <w:b/>
          <w:bCs/>
          <w:sz w:val="24"/>
          <w:szCs w:val="24"/>
          <w:highlight w:val="none"/>
        </w:rPr>
      </w:pPr>
    </w:p>
    <w:p w14:paraId="63563DD7">
      <w:pPr>
        <w:shd w:val="clear"/>
        <w:rPr>
          <w:rFonts w:hint="eastAsia" w:ascii="仿宋" w:hAnsi="仿宋" w:eastAsia="仿宋" w:cs="仿宋"/>
          <w:b/>
          <w:bCs/>
          <w:sz w:val="24"/>
          <w:szCs w:val="24"/>
          <w:highlight w:val="none"/>
        </w:rPr>
      </w:pPr>
    </w:p>
    <w:p w14:paraId="01F5E22C">
      <w:pPr>
        <w:shd w:val="clear"/>
        <w:rPr>
          <w:rFonts w:hint="eastAsia" w:ascii="仿宋" w:hAnsi="仿宋" w:eastAsia="仿宋" w:cs="仿宋"/>
          <w:b/>
          <w:bCs/>
          <w:sz w:val="24"/>
          <w:szCs w:val="24"/>
          <w:highlight w:val="none"/>
        </w:rPr>
      </w:pPr>
    </w:p>
    <w:p w14:paraId="630EF41E">
      <w:pPr>
        <w:shd w:val="clear"/>
        <w:rPr>
          <w:rFonts w:hint="eastAsia" w:ascii="仿宋" w:hAnsi="仿宋" w:eastAsia="仿宋" w:cs="仿宋"/>
          <w:b/>
          <w:bCs/>
          <w:sz w:val="24"/>
          <w:szCs w:val="24"/>
          <w:highlight w:val="none"/>
        </w:rPr>
      </w:pPr>
    </w:p>
    <w:p w14:paraId="6EBE8626">
      <w:pPr>
        <w:shd w:val="clear"/>
        <w:rPr>
          <w:rFonts w:hint="eastAsia" w:ascii="仿宋" w:hAnsi="仿宋" w:eastAsia="仿宋" w:cs="仿宋"/>
          <w:b/>
          <w:bCs/>
          <w:sz w:val="24"/>
          <w:szCs w:val="24"/>
          <w:highlight w:val="none"/>
        </w:rPr>
      </w:pPr>
    </w:p>
    <w:p w14:paraId="03C6B1EF">
      <w:pPr>
        <w:shd w:val="clear"/>
        <w:rPr>
          <w:rFonts w:hint="eastAsia" w:ascii="仿宋" w:hAnsi="仿宋" w:eastAsia="仿宋" w:cs="仿宋"/>
          <w:b/>
          <w:bCs/>
          <w:sz w:val="24"/>
          <w:szCs w:val="24"/>
          <w:highlight w:val="none"/>
        </w:rPr>
      </w:pPr>
    </w:p>
    <w:p w14:paraId="6D57DD42">
      <w:pPr>
        <w:shd w:val="clea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招 标 人（采 购 人）：成都三博东篱医院有限公司</w:t>
      </w:r>
    </w:p>
    <w:p w14:paraId="2B434863">
      <w:pPr>
        <w:shd w:val="clear"/>
        <w:jc w:val="center"/>
        <w:rPr>
          <w:rFonts w:hint="eastAsia" w:ascii="仿宋" w:hAnsi="仿宋" w:eastAsia="仿宋" w:cs="仿宋"/>
          <w:b/>
          <w:bCs/>
          <w:sz w:val="24"/>
          <w:szCs w:val="24"/>
          <w:highlight w:val="none"/>
        </w:rPr>
      </w:pPr>
    </w:p>
    <w:p w14:paraId="72B4842D">
      <w:pPr>
        <w:shd w:val="clear"/>
        <w:jc w:val="center"/>
        <w:rPr>
          <w:rFonts w:hint="eastAsia" w:ascii="仿宋" w:hAnsi="仿宋" w:eastAsia="仿宋" w:cs="仿宋"/>
          <w:b/>
          <w:bCs/>
          <w:sz w:val="24"/>
          <w:szCs w:val="24"/>
          <w:highlight w:val="none"/>
        </w:rPr>
      </w:pPr>
    </w:p>
    <w:p w14:paraId="2061291A">
      <w:pPr>
        <w:shd w:val="clear"/>
        <w:jc w:val="center"/>
        <w:rPr>
          <w:rFonts w:hint="eastAsia" w:ascii="仿宋" w:hAnsi="仿宋" w:eastAsia="仿宋" w:cs="仿宋"/>
          <w:sz w:val="24"/>
          <w:szCs w:val="24"/>
          <w:highlight w:val="none"/>
        </w:rPr>
      </w:pPr>
      <w:r>
        <w:rPr>
          <w:rFonts w:hint="eastAsia" w:ascii="仿宋" w:hAnsi="仿宋" w:eastAsia="仿宋" w:cs="仿宋"/>
          <w:b/>
          <w:bCs/>
          <w:sz w:val="24"/>
          <w:szCs w:val="24"/>
          <w:highlight w:val="none"/>
        </w:rPr>
        <w:t>编制日期：2026年</w:t>
      </w:r>
      <w:r>
        <w:rPr>
          <w:rFonts w:hint="eastAsia" w:ascii="仿宋" w:hAnsi="仿宋" w:eastAsia="仿宋" w:cs="仿宋"/>
          <w:b/>
          <w:bCs/>
          <w:sz w:val="24"/>
          <w:szCs w:val="24"/>
          <w:highlight w:val="none"/>
          <w:lang w:val="en-US" w:eastAsia="zh-CN"/>
        </w:rPr>
        <w:t>7</w:t>
      </w:r>
      <w:r>
        <w:rPr>
          <w:rFonts w:hint="eastAsia" w:ascii="仿宋" w:hAnsi="仿宋" w:eastAsia="仿宋" w:cs="仿宋"/>
          <w:b/>
          <w:bCs/>
          <w:sz w:val="24"/>
          <w:szCs w:val="24"/>
          <w:highlight w:val="none"/>
        </w:rPr>
        <w:t>月</w:t>
      </w:r>
      <w:r>
        <w:rPr>
          <w:rFonts w:hint="eastAsia" w:ascii="仿宋" w:hAnsi="仿宋" w:eastAsia="仿宋" w:cs="仿宋"/>
          <w:b/>
          <w:bCs/>
          <w:sz w:val="24"/>
          <w:szCs w:val="24"/>
          <w:highlight w:val="none"/>
          <w:lang w:val="en-US" w:eastAsia="zh-CN"/>
        </w:rPr>
        <w:t>6</w:t>
      </w:r>
      <w:r>
        <w:rPr>
          <w:rFonts w:hint="eastAsia" w:ascii="仿宋" w:hAnsi="仿宋" w:eastAsia="仿宋" w:cs="仿宋"/>
          <w:b/>
          <w:bCs/>
          <w:sz w:val="24"/>
          <w:szCs w:val="24"/>
          <w:highlight w:val="none"/>
        </w:rPr>
        <w:t>日</w:t>
      </w:r>
    </w:p>
    <w:p w14:paraId="517DD57C">
      <w:pPr>
        <w:shd w:val="clear"/>
        <w:rPr>
          <w:rFonts w:hint="eastAsia" w:ascii="仿宋" w:hAnsi="仿宋" w:eastAsia="仿宋" w:cs="仿宋"/>
          <w:sz w:val="24"/>
          <w:szCs w:val="24"/>
          <w:highlight w:val="none"/>
        </w:rPr>
      </w:pPr>
    </w:p>
    <w:p w14:paraId="0E78D982">
      <w:pPr>
        <w:shd w:val="clear"/>
        <w:rPr>
          <w:rFonts w:hint="eastAsia" w:ascii="仿宋" w:hAnsi="仿宋" w:eastAsia="仿宋" w:cs="仿宋"/>
          <w:sz w:val="24"/>
          <w:szCs w:val="24"/>
          <w:highlight w:val="none"/>
        </w:rPr>
      </w:pPr>
    </w:p>
    <w:p w14:paraId="4E5DD882">
      <w:pPr>
        <w:shd w:val="clear"/>
        <w:spacing w:before="0" w:beforeLines="0" w:after="0" w:afterLines="0" w:line="240" w:lineRule="auto"/>
        <w:ind w:left="0" w:leftChars="0" w:right="0" w:rightChars="0" w:firstLine="0" w:firstLineChars="0"/>
        <w:jc w:val="center"/>
        <w:rPr>
          <w:rFonts w:hint="eastAsia" w:ascii="仿宋" w:hAnsi="仿宋" w:eastAsia="仿宋" w:cs="仿宋"/>
          <w:kern w:val="2"/>
          <w:sz w:val="21"/>
          <w:szCs w:val="24"/>
          <w:highlight w:val="none"/>
          <w:lang w:val="en-US" w:eastAsia="zh-CN" w:bidi="ar-SA"/>
          <w14:ligatures w14:val="standardContextual"/>
        </w:rPr>
      </w:pPr>
    </w:p>
    <w:p w14:paraId="5C40FC4C">
      <w:pPr>
        <w:shd w:val="clear"/>
        <w:rPr>
          <w:rFonts w:hint="eastAsia" w:ascii="仿宋" w:hAnsi="仿宋" w:eastAsia="仿宋" w:cs="仿宋"/>
          <w:sz w:val="21"/>
          <w:szCs w:val="21"/>
          <w:highlight w:val="none"/>
        </w:rPr>
      </w:pPr>
      <w:r>
        <w:rPr>
          <w:rFonts w:hint="eastAsia" w:ascii="仿宋" w:hAnsi="仿宋" w:eastAsia="仿宋" w:cs="仿宋"/>
          <w:sz w:val="21"/>
          <w:szCs w:val="21"/>
          <w:highlight w:val="none"/>
        </w:rPr>
        <w:br w:type="page"/>
      </w:r>
    </w:p>
    <w:p w14:paraId="3EAE80DA">
      <w:pPr>
        <w:shd w:val="clear"/>
        <w:spacing w:line="240" w:lineRule="auto"/>
        <w:jc w:val="center"/>
        <w:rPr>
          <w:rFonts w:hint="eastAsia" w:ascii="仿宋" w:hAnsi="仿宋" w:eastAsia="仿宋" w:cs="仿宋"/>
          <w:b/>
          <w:kern w:val="2"/>
          <w:sz w:val="21"/>
          <w:szCs w:val="21"/>
          <w:highlight w:val="none"/>
          <w:lang w:val="en-US" w:eastAsia="zh-CN" w:bidi="ar-SA"/>
        </w:rPr>
      </w:pPr>
      <w:r>
        <w:rPr>
          <w:rFonts w:hint="eastAsia" w:ascii="仿宋" w:hAnsi="仿宋" w:eastAsia="仿宋" w:cs="仿宋"/>
          <w:sz w:val="21"/>
          <w:szCs w:val="21"/>
          <w:highlight w:val="none"/>
        </w:rPr>
        <w:t>目录</w:t>
      </w:r>
      <w:r>
        <w:rPr>
          <w:rFonts w:hint="eastAsia" w:ascii="仿宋" w:hAnsi="仿宋" w:eastAsia="仿宋" w:cs="仿宋"/>
          <w:b/>
          <w:sz w:val="21"/>
          <w:szCs w:val="21"/>
          <w:highlight w:val="none"/>
        </w:rPr>
        <w:fldChar w:fldCharType="begin"/>
      </w:r>
      <w:r>
        <w:rPr>
          <w:rFonts w:hint="eastAsia" w:ascii="仿宋" w:hAnsi="仿宋" w:eastAsia="仿宋" w:cs="仿宋"/>
          <w:b/>
          <w:sz w:val="21"/>
          <w:szCs w:val="21"/>
          <w:highlight w:val="none"/>
        </w:rPr>
        <w:instrText xml:space="preserve">TOC \o "1-2" \h \u </w:instrText>
      </w:r>
      <w:r>
        <w:rPr>
          <w:rFonts w:hint="eastAsia" w:ascii="仿宋" w:hAnsi="仿宋" w:eastAsia="仿宋" w:cs="仿宋"/>
          <w:b/>
          <w:sz w:val="21"/>
          <w:szCs w:val="21"/>
          <w:highlight w:val="none"/>
        </w:rPr>
        <w:fldChar w:fldCharType="separate"/>
      </w:r>
    </w:p>
    <w:p w14:paraId="791D22BD">
      <w:pPr>
        <w:pStyle w:val="14"/>
        <w:tabs>
          <w:tab w:val="right" w:leader="dot" w:pos="9070"/>
          <w:tab w:val="clear" w:pos="906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_Toc21463 </w:instrText>
      </w:r>
      <w:r>
        <w:rPr>
          <w:rFonts w:hint="eastAsia" w:ascii="仿宋" w:hAnsi="仿宋" w:eastAsia="仿宋" w:cs="仿宋"/>
          <w:szCs w:val="21"/>
          <w:highlight w:val="none"/>
        </w:rPr>
        <w:fldChar w:fldCharType="separate"/>
      </w:r>
      <w:r>
        <w:rPr>
          <w:rFonts w:hint="eastAsia" w:ascii="仿宋" w:hAnsi="仿宋" w:eastAsia="仿宋" w:cs="仿宋"/>
          <w:szCs w:val="32"/>
          <w:highlight w:val="none"/>
        </w:rPr>
        <w:t>第一章</w:t>
      </w:r>
      <w:r>
        <w:rPr>
          <w:rFonts w:hint="eastAsia" w:ascii="仿宋" w:hAnsi="仿宋" w:eastAsia="仿宋" w:cs="仿宋"/>
          <w:szCs w:val="32"/>
          <w:highlight w:val="none"/>
          <w:lang w:val="en-US" w:eastAsia="zh-CN"/>
        </w:rPr>
        <w:t>招标</w:t>
      </w:r>
      <w:r>
        <w:rPr>
          <w:rFonts w:hint="eastAsia" w:ascii="仿宋" w:hAnsi="仿宋" w:eastAsia="仿宋" w:cs="仿宋"/>
          <w:szCs w:val="32"/>
          <w:highlight w:val="none"/>
          <w:lang w:eastAsia="zh-CN"/>
        </w:rPr>
        <w:t>邀请</w:t>
      </w:r>
      <w:r>
        <w:rPr>
          <w:highlight w:val="none"/>
        </w:rPr>
        <w:tab/>
      </w:r>
      <w:r>
        <w:rPr>
          <w:highlight w:val="none"/>
        </w:rPr>
        <w:fldChar w:fldCharType="begin"/>
      </w:r>
      <w:r>
        <w:rPr>
          <w:highlight w:val="none"/>
        </w:rPr>
        <w:instrText xml:space="preserve"> PAGEREF _Toc21463 \h </w:instrText>
      </w:r>
      <w:r>
        <w:rPr>
          <w:highlight w:val="none"/>
        </w:rPr>
        <w:fldChar w:fldCharType="separate"/>
      </w:r>
      <w:r>
        <w:rPr>
          <w:highlight w:val="none"/>
        </w:rPr>
        <w:t>3</w:t>
      </w:r>
      <w:r>
        <w:rPr>
          <w:highlight w:val="none"/>
        </w:rPr>
        <w:fldChar w:fldCharType="end"/>
      </w:r>
      <w:r>
        <w:rPr>
          <w:rFonts w:hint="eastAsia" w:ascii="仿宋" w:hAnsi="仿宋" w:eastAsia="仿宋" w:cs="仿宋"/>
          <w:szCs w:val="21"/>
          <w:highlight w:val="none"/>
        </w:rPr>
        <w:fldChar w:fldCharType="end"/>
      </w:r>
    </w:p>
    <w:p w14:paraId="1324F68E">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_Toc28054 </w:instrText>
      </w:r>
      <w:r>
        <w:rPr>
          <w:rFonts w:hint="eastAsia" w:ascii="仿宋" w:hAnsi="仿宋" w:eastAsia="仿宋" w:cs="仿宋"/>
          <w:szCs w:val="21"/>
          <w:highlight w:val="none"/>
        </w:rPr>
        <w:fldChar w:fldCharType="separate"/>
      </w:r>
      <w:r>
        <w:rPr>
          <w:rFonts w:hint="default" w:ascii="仿宋" w:hAnsi="仿宋" w:eastAsia="仿宋" w:cs="仿宋"/>
          <w:highlight w:val="none"/>
        </w:rPr>
        <w:t xml:space="preserve">1. </w:t>
      </w:r>
      <w:r>
        <w:rPr>
          <w:rFonts w:hint="eastAsia" w:ascii="仿宋" w:hAnsi="仿宋" w:eastAsia="仿宋" w:cs="仿宋"/>
          <w:highlight w:val="none"/>
        </w:rPr>
        <w:t>邀标内容</w:t>
      </w:r>
      <w:r>
        <w:rPr>
          <w:highlight w:val="none"/>
        </w:rPr>
        <w:tab/>
      </w:r>
      <w:r>
        <w:rPr>
          <w:highlight w:val="none"/>
        </w:rPr>
        <w:fldChar w:fldCharType="begin"/>
      </w:r>
      <w:r>
        <w:rPr>
          <w:highlight w:val="none"/>
        </w:rPr>
        <w:instrText xml:space="preserve"> PAGEREF _Toc28054 \h </w:instrText>
      </w:r>
      <w:r>
        <w:rPr>
          <w:highlight w:val="none"/>
        </w:rPr>
        <w:fldChar w:fldCharType="separate"/>
      </w:r>
      <w:r>
        <w:rPr>
          <w:highlight w:val="none"/>
        </w:rPr>
        <w:t>3</w:t>
      </w:r>
      <w:r>
        <w:rPr>
          <w:highlight w:val="none"/>
        </w:rPr>
        <w:fldChar w:fldCharType="end"/>
      </w:r>
      <w:r>
        <w:rPr>
          <w:rFonts w:hint="eastAsia" w:ascii="仿宋" w:hAnsi="仿宋" w:eastAsia="仿宋" w:cs="仿宋"/>
          <w:szCs w:val="21"/>
          <w:highlight w:val="none"/>
        </w:rPr>
        <w:fldChar w:fldCharType="end"/>
      </w:r>
    </w:p>
    <w:p w14:paraId="3997D1CE">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_Toc24070 </w:instrText>
      </w:r>
      <w:r>
        <w:rPr>
          <w:rFonts w:hint="eastAsia" w:ascii="仿宋" w:hAnsi="仿宋" w:eastAsia="仿宋" w:cs="仿宋"/>
          <w:szCs w:val="21"/>
          <w:highlight w:val="none"/>
        </w:rPr>
        <w:fldChar w:fldCharType="separate"/>
      </w:r>
      <w:r>
        <w:rPr>
          <w:rFonts w:hint="default" w:ascii="仿宋" w:hAnsi="仿宋" w:eastAsia="仿宋" w:cs="仿宋"/>
          <w:highlight w:val="none"/>
        </w:rPr>
        <w:t xml:space="preserve">2. </w:t>
      </w:r>
      <w:r>
        <w:rPr>
          <w:rFonts w:hint="eastAsia" w:ascii="仿宋" w:hAnsi="仿宋" w:eastAsia="仿宋" w:cs="仿宋"/>
          <w:highlight w:val="none"/>
        </w:rPr>
        <w:t>投标人资格要求</w:t>
      </w:r>
      <w:r>
        <w:rPr>
          <w:highlight w:val="none"/>
        </w:rPr>
        <w:tab/>
      </w:r>
      <w:r>
        <w:rPr>
          <w:highlight w:val="none"/>
        </w:rPr>
        <w:fldChar w:fldCharType="begin"/>
      </w:r>
      <w:r>
        <w:rPr>
          <w:highlight w:val="none"/>
        </w:rPr>
        <w:instrText xml:space="preserve"> PAGEREF _Toc24070 \h </w:instrText>
      </w:r>
      <w:r>
        <w:rPr>
          <w:highlight w:val="none"/>
        </w:rPr>
        <w:fldChar w:fldCharType="separate"/>
      </w:r>
      <w:r>
        <w:rPr>
          <w:highlight w:val="none"/>
        </w:rPr>
        <w:t>3</w:t>
      </w:r>
      <w:r>
        <w:rPr>
          <w:highlight w:val="none"/>
        </w:rPr>
        <w:fldChar w:fldCharType="end"/>
      </w:r>
      <w:r>
        <w:rPr>
          <w:rFonts w:hint="eastAsia" w:ascii="仿宋" w:hAnsi="仿宋" w:eastAsia="仿宋" w:cs="仿宋"/>
          <w:szCs w:val="21"/>
          <w:highlight w:val="none"/>
        </w:rPr>
        <w:fldChar w:fldCharType="end"/>
      </w:r>
    </w:p>
    <w:p w14:paraId="6E3395F7">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_Toc29083 </w:instrText>
      </w:r>
      <w:r>
        <w:rPr>
          <w:rFonts w:hint="eastAsia" w:ascii="仿宋" w:hAnsi="仿宋" w:eastAsia="仿宋" w:cs="仿宋"/>
          <w:szCs w:val="21"/>
          <w:highlight w:val="none"/>
        </w:rPr>
        <w:fldChar w:fldCharType="separate"/>
      </w:r>
      <w:r>
        <w:rPr>
          <w:rFonts w:hint="default" w:ascii="仿宋" w:hAnsi="仿宋" w:eastAsia="仿宋" w:cs="仿宋"/>
          <w:highlight w:val="none"/>
        </w:rPr>
        <w:t xml:space="preserve">3. </w:t>
      </w:r>
      <w:r>
        <w:rPr>
          <w:rFonts w:hint="eastAsia" w:ascii="仿宋" w:hAnsi="仿宋" w:eastAsia="仿宋" w:cs="仿宋"/>
          <w:highlight w:val="none"/>
        </w:rPr>
        <w:t>递交投标文件截止时间和地点</w:t>
      </w:r>
      <w:r>
        <w:rPr>
          <w:highlight w:val="none"/>
        </w:rPr>
        <w:tab/>
      </w:r>
      <w:r>
        <w:rPr>
          <w:highlight w:val="none"/>
        </w:rPr>
        <w:fldChar w:fldCharType="begin"/>
      </w:r>
      <w:r>
        <w:rPr>
          <w:highlight w:val="none"/>
        </w:rPr>
        <w:instrText xml:space="preserve"> PAGEREF _Toc29083 \h </w:instrText>
      </w:r>
      <w:r>
        <w:rPr>
          <w:highlight w:val="none"/>
        </w:rPr>
        <w:fldChar w:fldCharType="separate"/>
      </w:r>
      <w:r>
        <w:rPr>
          <w:highlight w:val="none"/>
        </w:rPr>
        <w:t>4</w:t>
      </w:r>
      <w:r>
        <w:rPr>
          <w:highlight w:val="none"/>
        </w:rPr>
        <w:fldChar w:fldCharType="end"/>
      </w:r>
      <w:r>
        <w:rPr>
          <w:rFonts w:hint="eastAsia" w:ascii="仿宋" w:hAnsi="仿宋" w:eastAsia="仿宋" w:cs="仿宋"/>
          <w:szCs w:val="21"/>
          <w:highlight w:val="none"/>
        </w:rPr>
        <w:fldChar w:fldCharType="end"/>
      </w:r>
    </w:p>
    <w:p w14:paraId="6E4B7739">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_Toc28255 </w:instrText>
      </w:r>
      <w:r>
        <w:rPr>
          <w:rFonts w:hint="eastAsia" w:ascii="仿宋" w:hAnsi="仿宋" w:eastAsia="仿宋" w:cs="仿宋"/>
          <w:szCs w:val="21"/>
          <w:highlight w:val="none"/>
        </w:rPr>
        <w:fldChar w:fldCharType="separate"/>
      </w:r>
      <w:r>
        <w:rPr>
          <w:rFonts w:hint="default" w:ascii="仿宋" w:hAnsi="仿宋" w:eastAsia="仿宋" w:cs="仿宋"/>
          <w:highlight w:val="none"/>
        </w:rPr>
        <w:t xml:space="preserve">4. </w:t>
      </w:r>
      <w:r>
        <w:rPr>
          <w:rFonts w:hint="eastAsia" w:ascii="仿宋" w:hAnsi="仿宋" w:eastAsia="仿宋" w:cs="仿宋"/>
          <w:highlight w:val="none"/>
          <w:lang w:val="en-US" w:eastAsia="zh-CN"/>
        </w:rPr>
        <w:t>开标</w:t>
      </w:r>
      <w:r>
        <w:rPr>
          <w:rFonts w:hint="eastAsia" w:ascii="仿宋" w:hAnsi="仿宋" w:eastAsia="仿宋" w:cs="仿宋"/>
          <w:highlight w:val="none"/>
        </w:rPr>
        <w:t>时间</w:t>
      </w:r>
      <w:r>
        <w:rPr>
          <w:rFonts w:hint="eastAsia" w:ascii="仿宋" w:hAnsi="仿宋" w:eastAsia="仿宋" w:cs="仿宋"/>
          <w:highlight w:val="none"/>
          <w:lang w:val="en-US" w:eastAsia="zh-CN"/>
        </w:rPr>
        <w:t>及地点</w:t>
      </w:r>
      <w:r>
        <w:rPr>
          <w:highlight w:val="none"/>
        </w:rPr>
        <w:tab/>
      </w:r>
      <w:r>
        <w:rPr>
          <w:highlight w:val="none"/>
        </w:rPr>
        <w:fldChar w:fldCharType="begin"/>
      </w:r>
      <w:r>
        <w:rPr>
          <w:highlight w:val="none"/>
        </w:rPr>
        <w:instrText xml:space="preserve"> PAGEREF _Toc28255 \h </w:instrText>
      </w:r>
      <w:r>
        <w:rPr>
          <w:highlight w:val="none"/>
        </w:rPr>
        <w:fldChar w:fldCharType="separate"/>
      </w:r>
      <w:r>
        <w:rPr>
          <w:highlight w:val="none"/>
        </w:rPr>
        <w:t>4</w:t>
      </w:r>
      <w:r>
        <w:rPr>
          <w:highlight w:val="none"/>
        </w:rPr>
        <w:fldChar w:fldCharType="end"/>
      </w:r>
      <w:r>
        <w:rPr>
          <w:rFonts w:hint="eastAsia" w:ascii="仿宋" w:hAnsi="仿宋" w:eastAsia="仿宋" w:cs="仿宋"/>
          <w:szCs w:val="21"/>
          <w:highlight w:val="none"/>
        </w:rPr>
        <w:fldChar w:fldCharType="end"/>
      </w:r>
    </w:p>
    <w:p w14:paraId="1625EE0E">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_Toc24309 </w:instrText>
      </w:r>
      <w:r>
        <w:rPr>
          <w:rFonts w:hint="eastAsia" w:ascii="仿宋" w:hAnsi="仿宋" w:eastAsia="仿宋" w:cs="仿宋"/>
          <w:szCs w:val="21"/>
          <w:highlight w:val="none"/>
        </w:rPr>
        <w:fldChar w:fldCharType="separate"/>
      </w:r>
      <w:r>
        <w:rPr>
          <w:rFonts w:hint="default" w:ascii="仿宋" w:hAnsi="仿宋" w:eastAsia="仿宋" w:cs="仿宋"/>
          <w:highlight w:val="none"/>
        </w:rPr>
        <w:t xml:space="preserve">5. </w:t>
      </w:r>
      <w:r>
        <w:rPr>
          <w:rFonts w:hint="eastAsia" w:ascii="仿宋" w:hAnsi="仿宋" w:eastAsia="仿宋" w:cs="仿宋"/>
          <w:highlight w:val="none"/>
        </w:rPr>
        <w:t>邀标人信息</w:t>
      </w:r>
      <w:r>
        <w:rPr>
          <w:highlight w:val="none"/>
        </w:rPr>
        <w:tab/>
      </w:r>
      <w:r>
        <w:rPr>
          <w:highlight w:val="none"/>
        </w:rPr>
        <w:fldChar w:fldCharType="begin"/>
      </w:r>
      <w:r>
        <w:rPr>
          <w:highlight w:val="none"/>
        </w:rPr>
        <w:instrText xml:space="preserve"> PAGEREF _Toc24309 \h </w:instrText>
      </w:r>
      <w:r>
        <w:rPr>
          <w:highlight w:val="none"/>
        </w:rPr>
        <w:fldChar w:fldCharType="separate"/>
      </w:r>
      <w:r>
        <w:rPr>
          <w:highlight w:val="none"/>
        </w:rPr>
        <w:t>4</w:t>
      </w:r>
      <w:r>
        <w:rPr>
          <w:highlight w:val="none"/>
        </w:rPr>
        <w:fldChar w:fldCharType="end"/>
      </w:r>
      <w:r>
        <w:rPr>
          <w:rFonts w:hint="eastAsia" w:ascii="仿宋" w:hAnsi="仿宋" w:eastAsia="仿宋" w:cs="仿宋"/>
          <w:szCs w:val="21"/>
          <w:highlight w:val="none"/>
        </w:rPr>
        <w:fldChar w:fldCharType="end"/>
      </w:r>
    </w:p>
    <w:p w14:paraId="67A10B22">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_Toc28733 </w:instrText>
      </w:r>
      <w:r>
        <w:rPr>
          <w:rFonts w:hint="eastAsia" w:ascii="仿宋" w:hAnsi="仿宋" w:eastAsia="仿宋" w:cs="仿宋"/>
          <w:szCs w:val="21"/>
          <w:highlight w:val="none"/>
        </w:rPr>
        <w:fldChar w:fldCharType="separate"/>
      </w:r>
      <w:r>
        <w:rPr>
          <w:rFonts w:hint="default" w:ascii="仿宋" w:hAnsi="仿宋" w:eastAsia="仿宋" w:cs="仿宋"/>
          <w:highlight w:val="none"/>
        </w:rPr>
        <w:t xml:space="preserve">6. </w:t>
      </w:r>
      <w:r>
        <w:rPr>
          <w:rFonts w:hint="eastAsia" w:ascii="仿宋" w:hAnsi="仿宋" w:eastAsia="仿宋" w:cs="仿宋"/>
          <w:highlight w:val="none"/>
        </w:rPr>
        <w:t>标书答疑</w:t>
      </w:r>
      <w:r>
        <w:rPr>
          <w:highlight w:val="none"/>
        </w:rPr>
        <w:tab/>
      </w:r>
      <w:r>
        <w:rPr>
          <w:highlight w:val="none"/>
        </w:rPr>
        <w:fldChar w:fldCharType="begin"/>
      </w:r>
      <w:r>
        <w:rPr>
          <w:highlight w:val="none"/>
        </w:rPr>
        <w:instrText xml:space="preserve"> PAGEREF _Toc28733 \h </w:instrText>
      </w:r>
      <w:r>
        <w:rPr>
          <w:highlight w:val="none"/>
        </w:rPr>
        <w:fldChar w:fldCharType="separate"/>
      </w:r>
      <w:r>
        <w:rPr>
          <w:highlight w:val="none"/>
        </w:rPr>
        <w:t>4</w:t>
      </w:r>
      <w:r>
        <w:rPr>
          <w:highlight w:val="none"/>
        </w:rPr>
        <w:fldChar w:fldCharType="end"/>
      </w:r>
      <w:r>
        <w:rPr>
          <w:rFonts w:hint="eastAsia" w:ascii="仿宋" w:hAnsi="仿宋" w:eastAsia="仿宋" w:cs="仿宋"/>
          <w:szCs w:val="21"/>
          <w:highlight w:val="none"/>
        </w:rPr>
        <w:fldChar w:fldCharType="end"/>
      </w:r>
    </w:p>
    <w:p w14:paraId="4E4317E0">
      <w:pPr>
        <w:pStyle w:val="14"/>
        <w:tabs>
          <w:tab w:val="right" w:leader="dot" w:pos="9070"/>
          <w:tab w:val="clear" w:pos="906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_Toc3129 </w:instrText>
      </w:r>
      <w:r>
        <w:rPr>
          <w:rFonts w:hint="eastAsia" w:ascii="仿宋" w:hAnsi="仿宋" w:eastAsia="仿宋" w:cs="仿宋"/>
          <w:szCs w:val="21"/>
          <w:highlight w:val="none"/>
        </w:rPr>
        <w:fldChar w:fldCharType="separate"/>
      </w:r>
      <w:r>
        <w:rPr>
          <w:rFonts w:hint="eastAsia" w:ascii="仿宋" w:hAnsi="仿宋" w:eastAsia="仿宋" w:cs="仿宋"/>
          <w:highlight w:val="none"/>
        </w:rPr>
        <w:t>第二章投标文件的编制</w:t>
      </w:r>
      <w:r>
        <w:rPr>
          <w:highlight w:val="none"/>
        </w:rPr>
        <w:tab/>
      </w:r>
      <w:r>
        <w:rPr>
          <w:highlight w:val="none"/>
        </w:rPr>
        <w:fldChar w:fldCharType="begin"/>
      </w:r>
      <w:r>
        <w:rPr>
          <w:highlight w:val="none"/>
        </w:rPr>
        <w:instrText xml:space="preserve"> PAGEREF _Toc3129 \h </w:instrText>
      </w:r>
      <w:r>
        <w:rPr>
          <w:highlight w:val="none"/>
        </w:rPr>
        <w:fldChar w:fldCharType="separate"/>
      </w:r>
      <w:r>
        <w:rPr>
          <w:highlight w:val="none"/>
        </w:rPr>
        <w:t>5</w:t>
      </w:r>
      <w:r>
        <w:rPr>
          <w:highlight w:val="none"/>
        </w:rPr>
        <w:fldChar w:fldCharType="end"/>
      </w:r>
      <w:r>
        <w:rPr>
          <w:rFonts w:hint="eastAsia" w:ascii="仿宋" w:hAnsi="仿宋" w:eastAsia="仿宋" w:cs="仿宋"/>
          <w:szCs w:val="21"/>
          <w:highlight w:val="none"/>
        </w:rPr>
        <w:fldChar w:fldCharType="end"/>
      </w:r>
    </w:p>
    <w:p w14:paraId="2E6C51FD">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_Toc7675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rPr>
        <w:t>1 投标文件编制的原则</w:t>
      </w:r>
      <w:r>
        <w:rPr>
          <w:highlight w:val="none"/>
        </w:rPr>
        <w:tab/>
      </w:r>
      <w:r>
        <w:rPr>
          <w:highlight w:val="none"/>
        </w:rPr>
        <w:fldChar w:fldCharType="begin"/>
      </w:r>
      <w:r>
        <w:rPr>
          <w:highlight w:val="none"/>
        </w:rPr>
        <w:instrText xml:space="preserve"> PAGEREF _Toc7675 \h </w:instrText>
      </w:r>
      <w:r>
        <w:rPr>
          <w:highlight w:val="none"/>
        </w:rPr>
        <w:fldChar w:fldCharType="separate"/>
      </w:r>
      <w:r>
        <w:rPr>
          <w:highlight w:val="none"/>
        </w:rPr>
        <w:t>5</w:t>
      </w:r>
      <w:r>
        <w:rPr>
          <w:highlight w:val="none"/>
        </w:rPr>
        <w:fldChar w:fldCharType="end"/>
      </w:r>
      <w:r>
        <w:rPr>
          <w:rFonts w:hint="eastAsia" w:ascii="仿宋" w:hAnsi="仿宋" w:eastAsia="仿宋" w:cs="仿宋"/>
          <w:szCs w:val="21"/>
          <w:highlight w:val="none"/>
        </w:rPr>
        <w:fldChar w:fldCharType="end"/>
      </w:r>
    </w:p>
    <w:p w14:paraId="51B8F5B4">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_Toc30725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rPr>
        <w:t>2 投标的语言和计量单位</w:t>
      </w:r>
      <w:r>
        <w:rPr>
          <w:highlight w:val="none"/>
        </w:rPr>
        <w:tab/>
      </w:r>
      <w:r>
        <w:rPr>
          <w:highlight w:val="none"/>
        </w:rPr>
        <w:fldChar w:fldCharType="begin"/>
      </w:r>
      <w:r>
        <w:rPr>
          <w:highlight w:val="none"/>
        </w:rPr>
        <w:instrText xml:space="preserve"> PAGEREF _Toc30725 \h </w:instrText>
      </w:r>
      <w:r>
        <w:rPr>
          <w:highlight w:val="none"/>
        </w:rPr>
        <w:fldChar w:fldCharType="separate"/>
      </w:r>
      <w:r>
        <w:rPr>
          <w:highlight w:val="none"/>
        </w:rPr>
        <w:t>5</w:t>
      </w:r>
      <w:r>
        <w:rPr>
          <w:highlight w:val="none"/>
        </w:rPr>
        <w:fldChar w:fldCharType="end"/>
      </w:r>
      <w:r>
        <w:rPr>
          <w:rFonts w:hint="eastAsia" w:ascii="仿宋" w:hAnsi="仿宋" w:eastAsia="仿宋" w:cs="仿宋"/>
          <w:szCs w:val="21"/>
          <w:highlight w:val="none"/>
        </w:rPr>
        <w:fldChar w:fldCharType="end"/>
      </w:r>
    </w:p>
    <w:p w14:paraId="693ACFC1">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_Toc15014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rPr>
        <w:t>3 投标文件构成</w:t>
      </w:r>
      <w:r>
        <w:rPr>
          <w:highlight w:val="none"/>
        </w:rPr>
        <w:tab/>
      </w:r>
      <w:r>
        <w:rPr>
          <w:highlight w:val="none"/>
        </w:rPr>
        <w:fldChar w:fldCharType="begin"/>
      </w:r>
      <w:r>
        <w:rPr>
          <w:highlight w:val="none"/>
        </w:rPr>
        <w:instrText xml:space="preserve"> PAGEREF _Toc15014 \h </w:instrText>
      </w:r>
      <w:r>
        <w:rPr>
          <w:highlight w:val="none"/>
        </w:rPr>
        <w:fldChar w:fldCharType="separate"/>
      </w:r>
      <w:r>
        <w:rPr>
          <w:highlight w:val="none"/>
        </w:rPr>
        <w:t>5</w:t>
      </w:r>
      <w:r>
        <w:rPr>
          <w:highlight w:val="none"/>
        </w:rPr>
        <w:fldChar w:fldCharType="end"/>
      </w:r>
      <w:r>
        <w:rPr>
          <w:rFonts w:hint="eastAsia" w:ascii="仿宋" w:hAnsi="仿宋" w:eastAsia="仿宋" w:cs="仿宋"/>
          <w:szCs w:val="21"/>
          <w:highlight w:val="none"/>
        </w:rPr>
        <w:fldChar w:fldCharType="end"/>
      </w:r>
    </w:p>
    <w:p w14:paraId="4FC83856">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_Toc17522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rPr>
        <w:t>4 技术培训及要求</w:t>
      </w:r>
      <w:r>
        <w:rPr>
          <w:highlight w:val="none"/>
        </w:rPr>
        <w:tab/>
      </w:r>
      <w:r>
        <w:rPr>
          <w:highlight w:val="none"/>
        </w:rPr>
        <w:fldChar w:fldCharType="begin"/>
      </w:r>
      <w:r>
        <w:rPr>
          <w:highlight w:val="none"/>
        </w:rPr>
        <w:instrText xml:space="preserve"> PAGEREF _Toc17522 \h </w:instrText>
      </w:r>
      <w:r>
        <w:rPr>
          <w:highlight w:val="none"/>
        </w:rPr>
        <w:fldChar w:fldCharType="separate"/>
      </w:r>
      <w:r>
        <w:rPr>
          <w:highlight w:val="none"/>
        </w:rPr>
        <w:t>7</w:t>
      </w:r>
      <w:r>
        <w:rPr>
          <w:highlight w:val="none"/>
        </w:rPr>
        <w:fldChar w:fldCharType="end"/>
      </w:r>
      <w:r>
        <w:rPr>
          <w:rFonts w:hint="eastAsia" w:ascii="仿宋" w:hAnsi="仿宋" w:eastAsia="仿宋" w:cs="仿宋"/>
          <w:szCs w:val="21"/>
          <w:highlight w:val="none"/>
        </w:rPr>
        <w:fldChar w:fldCharType="end"/>
      </w:r>
    </w:p>
    <w:p w14:paraId="5FBC4B09">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_Toc9777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rPr>
        <w:t>5 投标报价及付款方式</w:t>
      </w:r>
      <w:r>
        <w:rPr>
          <w:highlight w:val="none"/>
        </w:rPr>
        <w:tab/>
      </w:r>
      <w:r>
        <w:rPr>
          <w:highlight w:val="none"/>
        </w:rPr>
        <w:fldChar w:fldCharType="begin"/>
      </w:r>
      <w:r>
        <w:rPr>
          <w:highlight w:val="none"/>
        </w:rPr>
        <w:instrText xml:space="preserve"> PAGEREF _Toc9777 \h </w:instrText>
      </w:r>
      <w:r>
        <w:rPr>
          <w:highlight w:val="none"/>
        </w:rPr>
        <w:fldChar w:fldCharType="separate"/>
      </w:r>
      <w:r>
        <w:rPr>
          <w:highlight w:val="none"/>
        </w:rPr>
        <w:t>9</w:t>
      </w:r>
      <w:r>
        <w:rPr>
          <w:highlight w:val="none"/>
        </w:rPr>
        <w:fldChar w:fldCharType="end"/>
      </w:r>
      <w:r>
        <w:rPr>
          <w:rFonts w:hint="eastAsia" w:ascii="仿宋" w:hAnsi="仿宋" w:eastAsia="仿宋" w:cs="仿宋"/>
          <w:szCs w:val="21"/>
          <w:highlight w:val="none"/>
        </w:rPr>
        <w:fldChar w:fldCharType="end"/>
      </w:r>
    </w:p>
    <w:p w14:paraId="1C5F210E">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_Toc26366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rPr>
        <w:t>6 投标货币</w:t>
      </w:r>
      <w:r>
        <w:rPr>
          <w:highlight w:val="none"/>
        </w:rPr>
        <w:tab/>
      </w:r>
      <w:r>
        <w:rPr>
          <w:highlight w:val="none"/>
        </w:rPr>
        <w:fldChar w:fldCharType="begin"/>
      </w:r>
      <w:r>
        <w:rPr>
          <w:highlight w:val="none"/>
        </w:rPr>
        <w:instrText xml:space="preserve"> PAGEREF _Toc26366 \h </w:instrText>
      </w:r>
      <w:r>
        <w:rPr>
          <w:highlight w:val="none"/>
        </w:rPr>
        <w:fldChar w:fldCharType="separate"/>
      </w:r>
      <w:r>
        <w:rPr>
          <w:highlight w:val="none"/>
        </w:rPr>
        <w:t>9</w:t>
      </w:r>
      <w:r>
        <w:rPr>
          <w:highlight w:val="none"/>
        </w:rPr>
        <w:fldChar w:fldCharType="end"/>
      </w:r>
      <w:r>
        <w:rPr>
          <w:rFonts w:hint="eastAsia" w:ascii="仿宋" w:hAnsi="仿宋" w:eastAsia="仿宋" w:cs="仿宋"/>
          <w:szCs w:val="21"/>
          <w:highlight w:val="none"/>
        </w:rPr>
        <w:fldChar w:fldCharType="end"/>
      </w:r>
    </w:p>
    <w:p w14:paraId="521A3280">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_Toc2089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rPr>
        <w:t>7 投标流程</w:t>
      </w:r>
      <w:r>
        <w:rPr>
          <w:highlight w:val="none"/>
        </w:rPr>
        <w:tab/>
      </w:r>
      <w:r>
        <w:rPr>
          <w:highlight w:val="none"/>
        </w:rPr>
        <w:fldChar w:fldCharType="begin"/>
      </w:r>
      <w:r>
        <w:rPr>
          <w:highlight w:val="none"/>
        </w:rPr>
        <w:instrText xml:space="preserve"> PAGEREF _Toc2089 \h </w:instrText>
      </w:r>
      <w:r>
        <w:rPr>
          <w:highlight w:val="none"/>
        </w:rPr>
        <w:fldChar w:fldCharType="separate"/>
      </w:r>
      <w:r>
        <w:rPr>
          <w:highlight w:val="none"/>
        </w:rPr>
        <w:t>9</w:t>
      </w:r>
      <w:r>
        <w:rPr>
          <w:highlight w:val="none"/>
        </w:rPr>
        <w:fldChar w:fldCharType="end"/>
      </w:r>
      <w:r>
        <w:rPr>
          <w:rFonts w:hint="eastAsia" w:ascii="仿宋" w:hAnsi="仿宋" w:eastAsia="仿宋" w:cs="仿宋"/>
          <w:szCs w:val="21"/>
          <w:highlight w:val="none"/>
        </w:rPr>
        <w:fldChar w:fldCharType="end"/>
      </w:r>
    </w:p>
    <w:p w14:paraId="299B3D1A">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_Toc30944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lang w:val="en-US" w:eastAsia="zh-CN"/>
        </w:rPr>
        <w:t xml:space="preserve">8 </w:t>
      </w:r>
      <w:r>
        <w:rPr>
          <w:rFonts w:hint="eastAsia" w:ascii="仿宋" w:hAnsi="仿宋" w:eastAsia="仿宋" w:cs="仿宋"/>
          <w:kern w:val="0"/>
          <w:highlight w:val="none"/>
        </w:rPr>
        <w:t>评标方式</w:t>
      </w:r>
      <w:r>
        <w:rPr>
          <w:rFonts w:hint="eastAsia" w:ascii="仿宋" w:hAnsi="仿宋" w:eastAsia="仿宋" w:cs="仿宋"/>
          <w:kern w:val="0"/>
          <w:highlight w:val="none"/>
          <w:lang w:val="en-US" w:eastAsia="zh-CN"/>
        </w:rPr>
        <w:t>及标准</w:t>
      </w:r>
      <w:r>
        <w:rPr>
          <w:highlight w:val="none"/>
        </w:rPr>
        <w:tab/>
      </w:r>
      <w:r>
        <w:rPr>
          <w:highlight w:val="none"/>
        </w:rPr>
        <w:fldChar w:fldCharType="begin"/>
      </w:r>
      <w:r>
        <w:rPr>
          <w:highlight w:val="none"/>
        </w:rPr>
        <w:instrText xml:space="preserve"> PAGEREF _Toc30944 \h </w:instrText>
      </w:r>
      <w:r>
        <w:rPr>
          <w:highlight w:val="none"/>
        </w:rPr>
        <w:fldChar w:fldCharType="separate"/>
      </w:r>
      <w:r>
        <w:rPr>
          <w:highlight w:val="none"/>
        </w:rPr>
        <w:t>10</w:t>
      </w:r>
      <w:r>
        <w:rPr>
          <w:highlight w:val="none"/>
        </w:rPr>
        <w:fldChar w:fldCharType="end"/>
      </w:r>
      <w:r>
        <w:rPr>
          <w:rFonts w:hint="eastAsia" w:ascii="仿宋" w:hAnsi="仿宋" w:eastAsia="仿宋" w:cs="仿宋"/>
          <w:szCs w:val="21"/>
          <w:highlight w:val="none"/>
        </w:rPr>
        <w:fldChar w:fldCharType="end"/>
      </w:r>
    </w:p>
    <w:p w14:paraId="636462E7">
      <w:pPr>
        <w:pStyle w:val="14"/>
        <w:tabs>
          <w:tab w:val="right" w:leader="dot" w:pos="9070"/>
          <w:tab w:val="clear" w:pos="906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_Toc27974 </w:instrText>
      </w:r>
      <w:r>
        <w:rPr>
          <w:rFonts w:hint="eastAsia" w:ascii="仿宋" w:hAnsi="仿宋" w:eastAsia="仿宋" w:cs="仿宋"/>
          <w:szCs w:val="21"/>
          <w:highlight w:val="none"/>
        </w:rPr>
        <w:fldChar w:fldCharType="separate"/>
      </w:r>
      <w:r>
        <w:rPr>
          <w:rFonts w:hint="eastAsia" w:ascii="仿宋" w:hAnsi="仿宋" w:eastAsia="仿宋" w:cs="仿宋"/>
          <w:highlight w:val="none"/>
        </w:rPr>
        <w:t>第三章 技术要求</w:t>
      </w:r>
      <w:r>
        <w:rPr>
          <w:highlight w:val="none"/>
        </w:rPr>
        <w:tab/>
      </w:r>
      <w:r>
        <w:rPr>
          <w:highlight w:val="none"/>
        </w:rPr>
        <w:fldChar w:fldCharType="begin"/>
      </w:r>
      <w:r>
        <w:rPr>
          <w:highlight w:val="none"/>
        </w:rPr>
        <w:instrText xml:space="preserve"> PAGEREF _Toc27974 \h </w:instrText>
      </w:r>
      <w:r>
        <w:rPr>
          <w:highlight w:val="none"/>
        </w:rPr>
        <w:fldChar w:fldCharType="separate"/>
      </w:r>
      <w:r>
        <w:rPr>
          <w:highlight w:val="none"/>
        </w:rPr>
        <w:t>13</w:t>
      </w:r>
      <w:r>
        <w:rPr>
          <w:highlight w:val="none"/>
        </w:rPr>
        <w:fldChar w:fldCharType="end"/>
      </w:r>
      <w:r>
        <w:rPr>
          <w:rFonts w:hint="eastAsia" w:ascii="仿宋" w:hAnsi="仿宋" w:eastAsia="仿宋" w:cs="仿宋"/>
          <w:szCs w:val="21"/>
          <w:highlight w:val="none"/>
        </w:rPr>
        <w:fldChar w:fldCharType="end"/>
      </w:r>
    </w:p>
    <w:p w14:paraId="2D4FF7FD">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_Toc13028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rPr>
        <w:t>1 总体建设要求</w:t>
      </w:r>
      <w:r>
        <w:rPr>
          <w:highlight w:val="none"/>
        </w:rPr>
        <w:tab/>
      </w:r>
      <w:r>
        <w:rPr>
          <w:highlight w:val="none"/>
        </w:rPr>
        <w:fldChar w:fldCharType="begin"/>
      </w:r>
      <w:r>
        <w:rPr>
          <w:highlight w:val="none"/>
        </w:rPr>
        <w:instrText xml:space="preserve"> PAGEREF _Toc13028 \h </w:instrText>
      </w:r>
      <w:r>
        <w:rPr>
          <w:highlight w:val="none"/>
        </w:rPr>
        <w:fldChar w:fldCharType="separate"/>
      </w:r>
      <w:r>
        <w:rPr>
          <w:highlight w:val="none"/>
        </w:rPr>
        <w:t>13</w:t>
      </w:r>
      <w:r>
        <w:rPr>
          <w:highlight w:val="none"/>
        </w:rPr>
        <w:fldChar w:fldCharType="end"/>
      </w:r>
      <w:r>
        <w:rPr>
          <w:rFonts w:hint="eastAsia" w:ascii="仿宋" w:hAnsi="仿宋" w:eastAsia="仿宋" w:cs="仿宋"/>
          <w:szCs w:val="21"/>
          <w:highlight w:val="none"/>
        </w:rPr>
        <w:fldChar w:fldCharType="end"/>
      </w:r>
    </w:p>
    <w:p w14:paraId="01144809">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_Toc22091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rPr>
        <w:t>2 系统建设内容</w:t>
      </w:r>
      <w:r>
        <w:rPr>
          <w:highlight w:val="none"/>
        </w:rPr>
        <w:tab/>
      </w:r>
      <w:r>
        <w:rPr>
          <w:highlight w:val="none"/>
        </w:rPr>
        <w:fldChar w:fldCharType="begin"/>
      </w:r>
      <w:r>
        <w:rPr>
          <w:highlight w:val="none"/>
        </w:rPr>
        <w:instrText xml:space="preserve"> PAGEREF _Toc22091 \h </w:instrText>
      </w:r>
      <w:r>
        <w:rPr>
          <w:highlight w:val="none"/>
        </w:rPr>
        <w:fldChar w:fldCharType="separate"/>
      </w:r>
      <w:r>
        <w:rPr>
          <w:highlight w:val="none"/>
        </w:rPr>
        <w:t>13</w:t>
      </w:r>
      <w:r>
        <w:rPr>
          <w:highlight w:val="none"/>
        </w:rPr>
        <w:fldChar w:fldCharType="end"/>
      </w:r>
      <w:r>
        <w:rPr>
          <w:rFonts w:hint="eastAsia" w:ascii="仿宋" w:hAnsi="仿宋" w:eastAsia="仿宋" w:cs="仿宋"/>
          <w:szCs w:val="21"/>
          <w:highlight w:val="none"/>
        </w:rPr>
        <w:fldChar w:fldCharType="end"/>
      </w:r>
    </w:p>
    <w:p w14:paraId="30B2CEAC">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_Toc14657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rPr>
        <w:t>3 强制性要求</w:t>
      </w:r>
      <w:r>
        <w:rPr>
          <w:highlight w:val="none"/>
        </w:rPr>
        <w:tab/>
      </w:r>
      <w:r>
        <w:rPr>
          <w:highlight w:val="none"/>
        </w:rPr>
        <w:fldChar w:fldCharType="begin"/>
      </w:r>
      <w:r>
        <w:rPr>
          <w:highlight w:val="none"/>
        </w:rPr>
        <w:instrText xml:space="preserve"> PAGEREF _Toc14657 \h </w:instrText>
      </w:r>
      <w:r>
        <w:rPr>
          <w:highlight w:val="none"/>
        </w:rPr>
        <w:fldChar w:fldCharType="separate"/>
      </w:r>
      <w:r>
        <w:rPr>
          <w:highlight w:val="none"/>
        </w:rPr>
        <w:t>23</w:t>
      </w:r>
      <w:r>
        <w:rPr>
          <w:highlight w:val="none"/>
        </w:rPr>
        <w:fldChar w:fldCharType="end"/>
      </w:r>
      <w:r>
        <w:rPr>
          <w:rFonts w:hint="eastAsia" w:ascii="仿宋" w:hAnsi="仿宋" w:eastAsia="仿宋" w:cs="仿宋"/>
          <w:szCs w:val="21"/>
          <w:highlight w:val="none"/>
        </w:rPr>
        <w:fldChar w:fldCharType="end"/>
      </w:r>
    </w:p>
    <w:p w14:paraId="2A80497A">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_Toc27406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rPr>
        <w:t>4 交付与验收</w:t>
      </w:r>
      <w:r>
        <w:rPr>
          <w:highlight w:val="none"/>
        </w:rPr>
        <w:tab/>
      </w:r>
      <w:r>
        <w:rPr>
          <w:highlight w:val="none"/>
        </w:rPr>
        <w:fldChar w:fldCharType="begin"/>
      </w:r>
      <w:r>
        <w:rPr>
          <w:highlight w:val="none"/>
        </w:rPr>
        <w:instrText xml:space="preserve"> PAGEREF _Toc27406 \h </w:instrText>
      </w:r>
      <w:r>
        <w:rPr>
          <w:highlight w:val="none"/>
        </w:rPr>
        <w:fldChar w:fldCharType="separate"/>
      </w:r>
      <w:r>
        <w:rPr>
          <w:highlight w:val="none"/>
        </w:rPr>
        <w:t>24</w:t>
      </w:r>
      <w:r>
        <w:rPr>
          <w:highlight w:val="none"/>
        </w:rPr>
        <w:fldChar w:fldCharType="end"/>
      </w:r>
      <w:r>
        <w:rPr>
          <w:rFonts w:hint="eastAsia" w:ascii="仿宋" w:hAnsi="仿宋" w:eastAsia="仿宋" w:cs="仿宋"/>
          <w:szCs w:val="21"/>
          <w:highlight w:val="none"/>
        </w:rPr>
        <w:fldChar w:fldCharType="end"/>
      </w:r>
    </w:p>
    <w:p w14:paraId="5C405D77">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_Toc16137 </w:instrText>
      </w:r>
      <w:r>
        <w:rPr>
          <w:rFonts w:hint="eastAsia" w:ascii="仿宋" w:hAnsi="仿宋" w:eastAsia="仿宋" w:cs="仿宋"/>
          <w:szCs w:val="21"/>
          <w:highlight w:val="none"/>
        </w:rPr>
        <w:fldChar w:fldCharType="separate"/>
      </w:r>
      <w:r>
        <w:rPr>
          <w:rFonts w:hint="eastAsia" w:ascii="仿宋" w:hAnsi="仿宋" w:eastAsia="仿宋" w:cs="仿宋"/>
          <w:kern w:val="0"/>
          <w:highlight w:val="none"/>
        </w:rPr>
        <w:t>5 服务要求</w:t>
      </w:r>
      <w:r>
        <w:rPr>
          <w:highlight w:val="none"/>
        </w:rPr>
        <w:tab/>
      </w:r>
      <w:r>
        <w:rPr>
          <w:highlight w:val="none"/>
        </w:rPr>
        <w:fldChar w:fldCharType="begin"/>
      </w:r>
      <w:r>
        <w:rPr>
          <w:highlight w:val="none"/>
        </w:rPr>
        <w:instrText xml:space="preserve"> PAGEREF _Toc16137 \h </w:instrText>
      </w:r>
      <w:r>
        <w:rPr>
          <w:highlight w:val="none"/>
        </w:rPr>
        <w:fldChar w:fldCharType="separate"/>
      </w:r>
      <w:r>
        <w:rPr>
          <w:highlight w:val="none"/>
        </w:rPr>
        <w:t>24</w:t>
      </w:r>
      <w:r>
        <w:rPr>
          <w:highlight w:val="none"/>
        </w:rPr>
        <w:fldChar w:fldCharType="end"/>
      </w:r>
      <w:r>
        <w:rPr>
          <w:rFonts w:hint="eastAsia" w:ascii="仿宋" w:hAnsi="仿宋" w:eastAsia="仿宋" w:cs="仿宋"/>
          <w:szCs w:val="21"/>
          <w:highlight w:val="none"/>
        </w:rPr>
        <w:fldChar w:fldCharType="end"/>
      </w:r>
    </w:p>
    <w:p w14:paraId="45AE0BE0">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_Toc23204 </w:instrText>
      </w:r>
      <w:r>
        <w:rPr>
          <w:rFonts w:hint="eastAsia" w:ascii="仿宋" w:hAnsi="仿宋" w:eastAsia="仿宋" w:cs="仿宋"/>
          <w:szCs w:val="21"/>
          <w:highlight w:val="none"/>
        </w:rPr>
        <w:fldChar w:fldCharType="separate"/>
      </w:r>
      <w:r>
        <w:rPr>
          <w:rFonts w:hint="eastAsia" w:ascii="仿宋" w:hAnsi="仿宋" w:eastAsia="仿宋" w:cs="仿宋"/>
          <w:bCs/>
          <w:szCs w:val="24"/>
          <w:highlight w:val="none"/>
          <w:lang w:val="en-US" w:eastAsia="zh-CN"/>
        </w:rPr>
        <w:t>6 违约责任</w:t>
      </w:r>
      <w:r>
        <w:rPr>
          <w:rFonts w:hint="eastAsia" w:ascii="仿宋" w:hAnsi="仿宋" w:eastAsia="仿宋" w:cs="仿宋"/>
          <w:highlight w:val="none"/>
          <w:lang w:val="en-US" w:eastAsia="zh-CN"/>
        </w:rPr>
        <w:t>（</w:t>
      </w:r>
      <w:r>
        <w:rPr>
          <w:rFonts w:hint="eastAsia" w:ascii="仿宋" w:hAnsi="仿宋" w:eastAsia="仿宋" w:cs="仿宋"/>
          <w:bCs/>
          <w:highlight w:val="none"/>
          <w:lang w:val="en-US" w:eastAsia="zh-CN"/>
        </w:rPr>
        <w:t>合同签署时可进行协商</w:t>
      </w:r>
      <w:r>
        <w:rPr>
          <w:rFonts w:hint="eastAsia" w:ascii="仿宋" w:hAnsi="仿宋" w:eastAsia="仿宋" w:cs="仿宋"/>
          <w:highlight w:val="none"/>
          <w:lang w:val="en-US" w:eastAsia="zh-CN"/>
        </w:rPr>
        <w:t>）</w:t>
      </w:r>
      <w:r>
        <w:rPr>
          <w:highlight w:val="none"/>
        </w:rPr>
        <w:tab/>
      </w:r>
      <w:r>
        <w:rPr>
          <w:highlight w:val="none"/>
        </w:rPr>
        <w:fldChar w:fldCharType="begin"/>
      </w:r>
      <w:r>
        <w:rPr>
          <w:highlight w:val="none"/>
        </w:rPr>
        <w:instrText xml:space="preserve"> PAGEREF _Toc23204 \h </w:instrText>
      </w:r>
      <w:r>
        <w:rPr>
          <w:highlight w:val="none"/>
        </w:rPr>
        <w:fldChar w:fldCharType="separate"/>
      </w:r>
      <w:r>
        <w:rPr>
          <w:highlight w:val="none"/>
        </w:rPr>
        <w:t>25</w:t>
      </w:r>
      <w:r>
        <w:rPr>
          <w:highlight w:val="none"/>
        </w:rPr>
        <w:fldChar w:fldCharType="end"/>
      </w:r>
      <w:r>
        <w:rPr>
          <w:rFonts w:hint="eastAsia" w:ascii="仿宋" w:hAnsi="仿宋" w:eastAsia="仿宋" w:cs="仿宋"/>
          <w:szCs w:val="21"/>
          <w:highlight w:val="none"/>
        </w:rPr>
        <w:fldChar w:fldCharType="end"/>
      </w:r>
    </w:p>
    <w:p w14:paraId="7D53A8C4">
      <w:pPr>
        <w:pStyle w:val="14"/>
        <w:tabs>
          <w:tab w:val="right" w:leader="dot" w:pos="9070"/>
          <w:tab w:val="clear" w:pos="906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_Toc1565 </w:instrText>
      </w:r>
      <w:r>
        <w:rPr>
          <w:rFonts w:hint="eastAsia" w:ascii="仿宋" w:hAnsi="仿宋" w:eastAsia="仿宋" w:cs="仿宋"/>
          <w:szCs w:val="21"/>
          <w:highlight w:val="none"/>
        </w:rPr>
        <w:fldChar w:fldCharType="separate"/>
      </w:r>
      <w:r>
        <w:rPr>
          <w:rFonts w:hint="eastAsia" w:ascii="仿宋" w:hAnsi="仿宋" w:eastAsia="仿宋" w:cs="仿宋"/>
          <w:highlight w:val="none"/>
        </w:rPr>
        <w:t>第四章附件</w:t>
      </w:r>
      <w:r>
        <w:rPr>
          <w:highlight w:val="none"/>
        </w:rPr>
        <w:tab/>
      </w:r>
      <w:r>
        <w:rPr>
          <w:highlight w:val="none"/>
        </w:rPr>
        <w:fldChar w:fldCharType="begin"/>
      </w:r>
      <w:r>
        <w:rPr>
          <w:highlight w:val="none"/>
        </w:rPr>
        <w:instrText xml:space="preserve"> PAGEREF _Toc1565 \h </w:instrText>
      </w:r>
      <w:r>
        <w:rPr>
          <w:highlight w:val="none"/>
        </w:rPr>
        <w:fldChar w:fldCharType="separate"/>
      </w:r>
      <w:r>
        <w:rPr>
          <w:highlight w:val="none"/>
        </w:rPr>
        <w:t>27</w:t>
      </w:r>
      <w:r>
        <w:rPr>
          <w:highlight w:val="none"/>
        </w:rPr>
        <w:fldChar w:fldCharType="end"/>
      </w:r>
      <w:r>
        <w:rPr>
          <w:rFonts w:hint="eastAsia" w:ascii="仿宋" w:hAnsi="仿宋" w:eastAsia="仿宋" w:cs="仿宋"/>
          <w:szCs w:val="21"/>
          <w:highlight w:val="none"/>
        </w:rPr>
        <w:fldChar w:fldCharType="end"/>
      </w:r>
    </w:p>
    <w:p w14:paraId="3C749409">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_Toc31234 </w:instrText>
      </w:r>
      <w:r>
        <w:rPr>
          <w:rFonts w:hint="eastAsia" w:ascii="仿宋" w:hAnsi="仿宋" w:eastAsia="仿宋" w:cs="仿宋"/>
          <w:szCs w:val="21"/>
          <w:highlight w:val="none"/>
        </w:rPr>
        <w:fldChar w:fldCharType="separate"/>
      </w:r>
      <w:r>
        <w:rPr>
          <w:rFonts w:hint="eastAsia" w:ascii="仿宋" w:hAnsi="仿宋" w:eastAsia="仿宋" w:cs="仿宋"/>
          <w:highlight w:val="none"/>
        </w:rPr>
        <w:t>附件1：封面</w:t>
      </w:r>
      <w:r>
        <w:rPr>
          <w:highlight w:val="none"/>
        </w:rPr>
        <w:tab/>
      </w:r>
      <w:r>
        <w:rPr>
          <w:highlight w:val="none"/>
        </w:rPr>
        <w:fldChar w:fldCharType="begin"/>
      </w:r>
      <w:r>
        <w:rPr>
          <w:highlight w:val="none"/>
        </w:rPr>
        <w:instrText xml:space="preserve"> PAGEREF _Toc31234 \h </w:instrText>
      </w:r>
      <w:r>
        <w:rPr>
          <w:highlight w:val="none"/>
        </w:rPr>
        <w:fldChar w:fldCharType="separate"/>
      </w:r>
      <w:r>
        <w:rPr>
          <w:highlight w:val="none"/>
        </w:rPr>
        <w:t>I</w:t>
      </w:r>
      <w:r>
        <w:rPr>
          <w:highlight w:val="none"/>
        </w:rPr>
        <w:fldChar w:fldCharType="end"/>
      </w:r>
      <w:r>
        <w:rPr>
          <w:rFonts w:hint="eastAsia" w:ascii="仿宋" w:hAnsi="仿宋" w:eastAsia="仿宋" w:cs="仿宋"/>
          <w:szCs w:val="21"/>
          <w:highlight w:val="none"/>
        </w:rPr>
        <w:fldChar w:fldCharType="end"/>
      </w:r>
    </w:p>
    <w:p w14:paraId="65F053A3">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_Toc10195 </w:instrText>
      </w:r>
      <w:r>
        <w:rPr>
          <w:rFonts w:hint="eastAsia" w:ascii="仿宋" w:hAnsi="仿宋" w:eastAsia="仿宋" w:cs="仿宋"/>
          <w:szCs w:val="21"/>
          <w:highlight w:val="none"/>
        </w:rPr>
        <w:fldChar w:fldCharType="separate"/>
      </w:r>
      <w:r>
        <w:rPr>
          <w:rFonts w:hint="eastAsia" w:ascii="仿宋" w:hAnsi="仿宋" w:eastAsia="仿宋" w:cs="仿宋"/>
          <w:highlight w:val="none"/>
        </w:rPr>
        <w:t>附件</w:t>
      </w:r>
      <w:r>
        <w:rPr>
          <w:rFonts w:hint="eastAsia" w:ascii="仿宋" w:hAnsi="仿宋" w:eastAsia="仿宋" w:cs="仿宋"/>
          <w:highlight w:val="none"/>
          <w:lang w:val="en-US" w:eastAsia="zh-CN"/>
        </w:rPr>
        <w:t>2</w:t>
      </w:r>
      <w:r>
        <w:rPr>
          <w:rFonts w:hint="eastAsia" w:ascii="仿宋" w:hAnsi="仿宋" w:eastAsia="仿宋" w:cs="仿宋"/>
          <w:highlight w:val="none"/>
        </w:rPr>
        <w:t>、招标文件答疑确认函</w:t>
      </w:r>
      <w:r>
        <w:rPr>
          <w:highlight w:val="none"/>
        </w:rPr>
        <w:tab/>
      </w:r>
      <w:r>
        <w:rPr>
          <w:highlight w:val="none"/>
        </w:rPr>
        <w:fldChar w:fldCharType="begin"/>
      </w:r>
      <w:r>
        <w:rPr>
          <w:highlight w:val="none"/>
        </w:rPr>
        <w:instrText xml:space="preserve"> PAGEREF _Toc10195 \h </w:instrText>
      </w:r>
      <w:r>
        <w:rPr>
          <w:highlight w:val="none"/>
        </w:rPr>
        <w:fldChar w:fldCharType="separate"/>
      </w:r>
      <w:r>
        <w:rPr>
          <w:highlight w:val="none"/>
        </w:rPr>
        <w:t>II</w:t>
      </w:r>
      <w:r>
        <w:rPr>
          <w:highlight w:val="none"/>
        </w:rPr>
        <w:fldChar w:fldCharType="end"/>
      </w:r>
      <w:r>
        <w:rPr>
          <w:rFonts w:hint="eastAsia" w:ascii="仿宋" w:hAnsi="仿宋" w:eastAsia="仿宋" w:cs="仿宋"/>
          <w:szCs w:val="21"/>
          <w:highlight w:val="none"/>
        </w:rPr>
        <w:fldChar w:fldCharType="end"/>
      </w:r>
    </w:p>
    <w:p w14:paraId="013A04BC">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_Toc31891 </w:instrText>
      </w:r>
      <w:r>
        <w:rPr>
          <w:rFonts w:hint="eastAsia" w:ascii="仿宋" w:hAnsi="仿宋" w:eastAsia="仿宋" w:cs="仿宋"/>
          <w:szCs w:val="21"/>
          <w:highlight w:val="none"/>
        </w:rPr>
        <w:fldChar w:fldCharType="separate"/>
      </w:r>
      <w:r>
        <w:rPr>
          <w:rFonts w:hint="eastAsia" w:ascii="仿宋" w:hAnsi="仿宋" w:eastAsia="仿宋" w:cs="仿宋"/>
          <w:highlight w:val="none"/>
        </w:rPr>
        <w:t>附件</w:t>
      </w:r>
      <w:r>
        <w:rPr>
          <w:rFonts w:hint="eastAsia" w:ascii="仿宋" w:hAnsi="仿宋" w:eastAsia="仿宋" w:cs="仿宋"/>
          <w:highlight w:val="none"/>
          <w:lang w:val="en-US" w:eastAsia="zh-CN"/>
        </w:rPr>
        <w:t>3</w:t>
      </w:r>
      <w:r>
        <w:rPr>
          <w:rFonts w:hint="eastAsia" w:ascii="仿宋" w:hAnsi="仿宋" w:eastAsia="仿宋" w:cs="仿宋"/>
          <w:highlight w:val="none"/>
        </w:rPr>
        <w:t>、投标声明函</w:t>
      </w:r>
      <w:r>
        <w:rPr>
          <w:rFonts w:hint="eastAsia" w:ascii="仿宋" w:hAnsi="仿宋" w:eastAsia="仿宋" w:cs="仿宋"/>
          <w:highlight w:val="none"/>
          <w:lang w:eastAsia="zh-CN"/>
        </w:rPr>
        <w:t>、</w:t>
      </w:r>
      <w:r>
        <w:rPr>
          <w:rFonts w:hint="eastAsia" w:ascii="仿宋" w:hAnsi="仿宋" w:eastAsia="仿宋" w:cs="仿宋"/>
          <w:highlight w:val="none"/>
        </w:rPr>
        <w:t>投标确认书、</w:t>
      </w:r>
      <w:r>
        <w:rPr>
          <w:rFonts w:hint="eastAsia" w:ascii="仿宋" w:hAnsi="仿宋" w:eastAsia="仿宋" w:cs="仿宋"/>
          <w:highlight w:val="none"/>
          <w:lang w:val="en-US" w:eastAsia="zh-CN"/>
        </w:rPr>
        <w:t>投标响应确认函</w:t>
      </w:r>
      <w:r>
        <w:rPr>
          <w:highlight w:val="none"/>
        </w:rPr>
        <w:tab/>
      </w:r>
      <w:r>
        <w:rPr>
          <w:highlight w:val="none"/>
        </w:rPr>
        <w:fldChar w:fldCharType="begin"/>
      </w:r>
      <w:r>
        <w:rPr>
          <w:highlight w:val="none"/>
        </w:rPr>
        <w:instrText xml:space="preserve"> PAGEREF _Toc31891 \h </w:instrText>
      </w:r>
      <w:r>
        <w:rPr>
          <w:highlight w:val="none"/>
        </w:rPr>
        <w:fldChar w:fldCharType="separate"/>
      </w:r>
      <w:r>
        <w:rPr>
          <w:highlight w:val="none"/>
        </w:rPr>
        <w:t>III</w:t>
      </w:r>
      <w:r>
        <w:rPr>
          <w:highlight w:val="none"/>
        </w:rPr>
        <w:fldChar w:fldCharType="end"/>
      </w:r>
      <w:r>
        <w:rPr>
          <w:rFonts w:hint="eastAsia" w:ascii="仿宋" w:hAnsi="仿宋" w:eastAsia="仿宋" w:cs="仿宋"/>
          <w:szCs w:val="21"/>
          <w:highlight w:val="none"/>
        </w:rPr>
        <w:fldChar w:fldCharType="end"/>
      </w:r>
    </w:p>
    <w:p w14:paraId="323BAB4A">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_Toc13226 </w:instrText>
      </w:r>
      <w:r>
        <w:rPr>
          <w:rFonts w:hint="eastAsia" w:ascii="仿宋" w:hAnsi="仿宋" w:eastAsia="仿宋" w:cs="仿宋"/>
          <w:szCs w:val="21"/>
          <w:highlight w:val="none"/>
        </w:rPr>
        <w:fldChar w:fldCharType="separate"/>
      </w:r>
      <w:r>
        <w:rPr>
          <w:rFonts w:hint="eastAsia" w:ascii="仿宋" w:hAnsi="仿宋" w:eastAsia="仿宋" w:cs="仿宋"/>
          <w:highlight w:val="none"/>
        </w:rPr>
        <w:t>附件</w:t>
      </w:r>
      <w:r>
        <w:rPr>
          <w:rFonts w:hint="eastAsia" w:ascii="仿宋" w:hAnsi="仿宋" w:eastAsia="仿宋" w:cs="仿宋"/>
          <w:highlight w:val="none"/>
          <w:lang w:val="en-US" w:eastAsia="zh-CN"/>
        </w:rPr>
        <w:t>4</w:t>
      </w:r>
      <w:r>
        <w:rPr>
          <w:rFonts w:hint="eastAsia" w:ascii="仿宋" w:hAnsi="仿宋" w:eastAsia="仿宋" w:cs="仿宋"/>
          <w:highlight w:val="none"/>
        </w:rPr>
        <w:t>：报价函</w:t>
      </w:r>
      <w:r>
        <w:rPr>
          <w:highlight w:val="none"/>
        </w:rPr>
        <w:tab/>
      </w:r>
      <w:r>
        <w:rPr>
          <w:highlight w:val="none"/>
        </w:rPr>
        <w:fldChar w:fldCharType="begin"/>
      </w:r>
      <w:r>
        <w:rPr>
          <w:highlight w:val="none"/>
        </w:rPr>
        <w:instrText xml:space="preserve"> PAGEREF _Toc13226 \h </w:instrText>
      </w:r>
      <w:r>
        <w:rPr>
          <w:highlight w:val="none"/>
        </w:rPr>
        <w:fldChar w:fldCharType="separate"/>
      </w:r>
      <w:r>
        <w:rPr>
          <w:highlight w:val="none"/>
        </w:rPr>
        <w:t>VI</w:t>
      </w:r>
      <w:r>
        <w:rPr>
          <w:highlight w:val="none"/>
        </w:rPr>
        <w:fldChar w:fldCharType="end"/>
      </w:r>
      <w:r>
        <w:rPr>
          <w:rFonts w:hint="eastAsia" w:ascii="仿宋" w:hAnsi="仿宋" w:eastAsia="仿宋" w:cs="仿宋"/>
          <w:szCs w:val="21"/>
          <w:highlight w:val="none"/>
        </w:rPr>
        <w:fldChar w:fldCharType="end"/>
      </w:r>
    </w:p>
    <w:p w14:paraId="273DFE49">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_Toc16019 </w:instrText>
      </w:r>
      <w:r>
        <w:rPr>
          <w:rFonts w:hint="eastAsia" w:ascii="仿宋" w:hAnsi="仿宋" w:eastAsia="仿宋" w:cs="仿宋"/>
          <w:szCs w:val="21"/>
          <w:highlight w:val="none"/>
        </w:rPr>
        <w:fldChar w:fldCharType="separate"/>
      </w:r>
      <w:r>
        <w:rPr>
          <w:rFonts w:hint="eastAsia" w:ascii="仿宋" w:hAnsi="仿宋" w:eastAsia="仿宋" w:cs="仿宋"/>
          <w:highlight w:val="none"/>
        </w:rPr>
        <w:t>附件</w:t>
      </w:r>
      <w:r>
        <w:rPr>
          <w:rFonts w:hint="eastAsia" w:ascii="仿宋" w:hAnsi="仿宋" w:eastAsia="仿宋" w:cs="仿宋"/>
          <w:highlight w:val="none"/>
          <w:lang w:val="en-US" w:eastAsia="zh-CN"/>
        </w:rPr>
        <w:t>5</w:t>
      </w:r>
      <w:r>
        <w:rPr>
          <w:rFonts w:hint="eastAsia" w:ascii="仿宋" w:hAnsi="仿宋" w:eastAsia="仿宋" w:cs="仿宋"/>
          <w:highlight w:val="none"/>
        </w:rPr>
        <w:t>：报价表</w:t>
      </w:r>
      <w:r>
        <w:rPr>
          <w:highlight w:val="none"/>
        </w:rPr>
        <w:tab/>
      </w:r>
      <w:r>
        <w:rPr>
          <w:highlight w:val="none"/>
        </w:rPr>
        <w:fldChar w:fldCharType="begin"/>
      </w:r>
      <w:r>
        <w:rPr>
          <w:highlight w:val="none"/>
        </w:rPr>
        <w:instrText xml:space="preserve"> PAGEREF _Toc16019 \h </w:instrText>
      </w:r>
      <w:r>
        <w:rPr>
          <w:highlight w:val="none"/>
        </w:rPr>
        <w:fldChar w:fldCharType="separate"/>
      </w:r>
      <w:r>
        <w:rPr>
          <w:highlight w:val="none"/>
        </w:rPr>
        <w:t>VII</w:t>
      </w:r>
      <w:r>
        <w:rPr>
          <w:highlight w:val="none"/>
        </w:rPr>
        <w:fldChar w:fldCharType="end"/>
      </w:r>
      <w:r>
        <w:rPr>
          <w:rFonts w:hint="eastAsia" w:ascii="仿宋" w:hAnsi="仿宋" w:eastAsia="仿宋" w:cs="仿宋"/>
          <w:szCs w:val="21"/>
          <w:highlight w:val="none"/>
        </w:rPr>
        <w:fldChar w:fldCharType="end"/>
      </w:r>
    </w:p>
    <w:p w14:paraId="74D76199">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_Toc23743 </w:instrText>
      </w:r>
      <w:r>
        <w:rPr>
          <w:rFonts w:hint="eastAsia" w:ascii="仿宋" w:hAnsi="仿宋" w:eastAsia="仿宋" w:cs="仿宋"/>
          <w:szCs w:val="21"/>
          <w:highlight w:val="none"/>
        </w:rPr>
        <w:fldChar w:fldCharType="separate"/>
      </w:r>
      <w:r>
        <w:rPr>
          <w:rFonts w:hint="eastAsia" w:ascii="仿宋" w:hAnsi="仿宋" w:eastAsia="仿宋" w:cs="仿宋"/>
          <w:highlight w:val="none"/>
        </w:rPr>
        <w:t>附件</w:t>
      </w:r>
      <w:r>
        <w:rPr>
          <w:rFonts w:hint="eastAsia" w:ascii="仿宋" w:hAnsi="仿宋" w:eastAsia="仿宋" w:cs="仿宋"/>
          <w:highlight w:val="none"/>
          <w:lang w:val="en-US" w:eastAsia="zh-CN"/>
        </w:rPr>
        <w:t>6</w:t>
      </w:r>
      <w:r>
        <w:rPr>
          <w:rFonts w:hint="eastAsia" w:ascii="仿宋" w:hAnsi="仿宋" w:eastAsia="仿宋" w:cs="仿宋"/>
          <w:highlight w:val="none"/>
        </w:rPr>
        <w:t>：技术规格偏离表</w:t>
      </w:r>
      <w:r>
        <w:rPr>
          <w:highlight w:val="none"/>
        </w:rPr>
        <w:tab/>
      </w:r>
      <w:r>
        <w:rPr>
          <w:highlight w:val="none"/>
        </w:rPr>
        <w:fldChar w:fldCharType="begin"/>
      </w:r>
      <w:r>
        <w:rPr>
          <w:highlight w:val="none"/>
        </w:rPr>
        <w:instrText xml:space="preserve"> PAGEREF _Toc23743 \h </w:instrText>
      </w:r>
      <w:r>
        <w:rPr>
          <w:highlight w:val="none"/>
        </w:rPr>
        <w:fldChar w:fldCharType="separate"/>
      </w:r>
      <w:r>
        <w:rPr>
          <w:highlight w:val="none"/>
        </w:rPr>
        <w:t>I</w:t>
      </w:r>
      <w:r>
        <w:rPr>
          <w:highlight w:val="none"/>
        </w:rPr>
        <w:fldChar w:fldCharType="end"/>
      </w:r>
      <w:r>
        <w:rPr>
          <w:rFonts w:hint="eastAsia" w:ascii="仿宋" w:hAnsi="仿宋" w:eastAsia="仿宋" w:cs="仿宋"/>
          <w:szCs w:val="21"/>
          <w:highlight w:val="none"/>
        </w:rPr>
        <w:fldChar w:fldCharType="end"/>
      </w:r>
    </w:p>
    <w:p w14:paraId="414DF0AE">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_Toc5936 </w:instrText>
      </w:r>
      <w:r>
        <w:rPr>
          <w:rFonts w:hint="eastAsia" w:ascii="仿宋" w:hAnsi="仿宋" w:eastAsia="仿宋" w:cs="仿宋"/>
          <w:szCs w:val="21"/>
          <w:highlight w:val="none"/>
        </w:rPr>
        <w:fldChar w:fldCharType="separate"/>
      </w:r>
      <w:r>
        <w:rPr>
          <w:rFonts w:hint="eastAsia" w:ascii="仿宋" w:hAnsi="仿宋" w:eastAsia="仿宋" w:cs="仿宋"/>
          <w:highlight w:val="none"/>
          <w:lang w:val="en-US" w:eastAsia="zh-CN"/>
        </w:rPr>
        <w:t>附件7：</w:t>
      </w:r>
      <w:r>
        <w:rPr>
          <w:rFonts w:hint="eastAsia" w:ascii="仿宋" w:hAnsi="仿宋" w:eastAsia="仿宋" w:cs="仿宋"/>
          <w:highlight w:val="none"/>
        </w:rPr>
        <w:t>商务条款偏离表</w:t>
      </w:r>
      <w:r>
        <w:rPr>
          <w:highlight w:val="none"/>
        </w:rPr>
        <w:tab/>
      </w:r>
      <w:r>
        <w:rPr>
          <w:highlight w:val="none"/>
        </w:rPr>
        <w:fldChar w:fldCharType="begin"/>
      </w:r>
      <w:r>
        <w:rPr>
          <w:highlight w:val="none"/>
        </w:rPr>
        <w:instrText xml:space="preserve"> PAGEREF _Toc5936 \h </w:instrText>
      </w:r>
      <w:r>
        <w:rPr>
          <w:highlight w:val="none"/>
        </w:rPr>
        <w:fldChar w:fldCharType="separate"/>
      </w:r>
      <w:r>
        <w:rPr>
          <w:highlight w:val="none"/>
        </w:rPr>
        <w:t>II</w:t>
      </w:r>
      <w:r>
        <w:rPr>
          <w:highlight w:val="none"/>
        </w:rPr>
        <w:fldChar w:fldCharType="end"/>
      </w:r>
      <w:r>
        <w:rPr>
          <w:rFonts w:hint="eastAsia" w:ascii="仿宋" w:hAnsi="仿宋" w:eastAsia="仿宋" w:cs="仿宋"/>
          <w:szCs w:val="21"/>
          <w:highlight w:val="none"/>
        </w:rPr>
        <w:fldChar w:fldCharType="end"/>
      </w:r>
    </w:p>
    <w:p w14:paraId="22716110">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_Toc29676 </w:instrText>
      </w:r>
      <w:r>
        <w:rPr>
          <w:rFonts w:hint="eastAsia" w:ascii="仿宋" w:hAnsi="仿宋" w:eastAsia="仿宋" w:cs="仿宋"/>
          <w:szCs w:val="21"/>
          <w:highlight w:val="none"/>
        </w:rPr>
        <w:fldChar w:fldCharType="separate"/>
      </w:r>
      <w:r>
        <w:rPr>
          <w:rFonts w:hint="eastAsia" w:ascii="仿宋" w:hAnsi="仿宋" w:eastAsia="仿宋" w:cs="仿宋"/>
          <w:highlight w:val="none"/>
          <w:lang w:val="en-US" w:eastAsia="zh-CN"/>
        </w:rPr>
        <w:t>附件8：项目实施方案（包括但不限于以下几项）</w:t>
      </w:r>
      <w:r>
        <w:rPr>
          <w:highlight w:val="none"/>
        </w:rPr>
        <w:tab/>
      </w:r>
      <w:r>
        <w:rPr>
          <w:highlight w:val="none"/>
        </w:rPr>
        <w:fldChar w:fldCharType="begin"/>
      </w:r>
      <w:r>
        <w:rPr>
          <w:highlight w:val="none"/>
        </w:rPr>
        <w:instrText xml:space="preserve"> PAGEREF _Toc29676 \h </w:instrText>
      </w:r>
      <w:r>
        <w:rPr>
          <w:highlight w:val="none"/>
        </w:rPr>
        <w:fldChar w:fldCharType="separate"/>
      </w:r>
      <w:r>
        <w:rPr>
          <w:highlight w:val="none"/>
        </w:rPr>
        <w:t>III</w:t>
      </w:r>
      <w:r>
        <w:rPr>
          <w:highlight w:val="none"/>
        </w:rPr>
        <w:fldChar w:fldCharType="end"/>
      </w:r>
      <w:r>
        <w:rPr>
          <w:rFonts w:hint="eastAsia" w:ascii="仿宋" w:hAnsi="仿宋" w:eastAsia="仿宋" w:cs="仿宋"/>
          <w:szCs w:val="21"/>
          <w:highlight w:val="none"/>
        </w:rPr>
        <w:fldChar w:fldCharType="end"/>
      </w:r>
    </w:p>
    <w:p w14:paraId="783F8BA8">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_Toc6334 </w:instrText>
      </w:r>
      <w:r>
        <w:rPr>
          <w:rFonts w:hint="eastAsia" w:ascii="仿宋" w:hAnsi="仿宋" w:eastAsia="仿宋" w:cs="仿宋"/>
          <w:szCs w:val="21"/>
          <w:highlight w:val="none"/>
        </w:rPr>
        <w:fldChar w:fldCharType="separate"/>
      </w:r>
      <w:r>
        <w:rPr>
          <w:rFonts w:hint="eastAsia" w:ascii="仿宋" w:hAnsi="仿宋" w:eastAsia="仿宋" w:cs="仿宋"/>
          <w:highlight w:val="none"/>
          <w:lang w:val="en-US" w:eastAsia="zh-CN"/>
        </w:rPr>
        <w:t>附件9：服务承诺函</w:t>
      </w:r>
      <w:r>
        <w:rPr>
          <w:highlight w:val="none"/>
        </w:rPr>
        <w:tab/>
      </w:r>
      <w:r>
        <w:rPr>
          <w:highlight w:val="none"/>
        </w:rPr>
        <w:fldChar w:fldCharType="begin"/>
      </w:r>
      <w:r>
        <w:rPr>
          <w:highlight w:val="none"/>
        </w:rPr>
        <w:instrText xml:space="preserve"> PAGEREF _Toc6334 \h </w:instrText>
      </w:r>
      <w:r>
        <w:rPr>
          <w:highlight w:val="none"/>
        </w:rPr>
        <w:fldChar w:fldCharType="separate"/>
      </w:r>
      <w:r>
        <w:rPr>
          <w:highlight w:val="none"/>
        </w:rPr>
        <w:t>IV</w:t>
      </w:r>
      <w:r>
        <w:rPr>
          <w:highlight w:val="none"/>
        </w:rPr>
        <w:fldChar w:fldCharType="end"/>
      </w:r>
      <w:r>
        <w:rPr>
          <w:rFonts w:hint="eastAsia" w:ascii="仿宋" w:hAnsi="仿宋" w:eastAsia="仿宋" w:cs="仿宋"/>
          <w:szCs w:val="21"/>
          <w:highlight w:val="none"/>
        </w:rPr>
        <w:fldChar w:fldCharType="end"/>
      </w:r>
    </w:p>
    <w:p w14:paraId="5FA7D00B">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_Toc7078 </w:instrText>
      </w:r>
      <w:r>
        <w:rPr>
          <w:rFonts w:hint="eastAsia" w:ascii="仿宋" w:hAnsi="仿宋" w:eastAsia="仿宋" w:cs="仿宋"/>
          <w:szCs w:val="21"/>
          <w:highlight w:val="none"/>
        </w:rPr>
        <w:fldChar w:fldCharType="separate"/>
      </w:r>
      <w:r>
        <w:rPr>
          <w:rFonts w:hint="eastAsia" w:ascii="仿宋" w:hAnsi="仿宋" w:eastAsia="仿宋" w:cs="仿宋"/>
          <w:highlight w:val="none"/>
          <w:lang w:val="en-US" w:eastAsia="zh-CN"/>
        </w:rPr>
        <w:t>附件10：自投标截止之日起倒算36个月内无重大违法记录承诺书</w:t>
      </w:r>
      <w:r>
        <w:rPr>
          <w:highlight w:val="none"/>
        </w:rPr>
        <w:tab/>
      </w:r>
      <w:r>
        <w:rPr>
          <w:highlight w:val="none"/>
        </w:rPr>
        <w:fldChar w:fldCharType="begin"/>
      </w:r>
      <w:r>
        <w:rPr>
          <w:highlight w:val="none"/>
        </w:rPr>
        <w:instrText xml:space="preserve"> PAGEREF _Toc7078 \h </w:instrText>
      </w:r>
      <w:r>
        <w:rPr>
          <w:highlight w:val="none"/>
        </w:rPr>
        <w:fldChar w:fldCharType="separate"/>
      </w:r>
      <w:r>
        <w:rPr>
          <w:highlight w:val="none"/>
        </w:rPr>
        <w:t>V</w:t>
      </w:r>
      <w:r>
        <w:rPr>
          <w:highlight w:val="none"/>
        </w:rPr>
        <w:fldChar w:fldCharType="end"/>
      </w:r>
      <w:r>
        <w:rPr>
          <w:rFonts w:hint="eastAsia" w:ascii="仿宋" w:hAnsi="仿宋" w:eastAsia="仿宋" w:cs="仿宋"/>
          <w:szCs w:val="21"/>
          <w:highlight w:val="none"/>
        </w:rPr>
        <w:fldChar w:fldCharType="end"/>
      </w:r>
    </w:p>
    <w:p w14:paraId="5F3D3247">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_Toc6018 </w:instrText>
      </w:r>
      <w:r>
        <w:rPr>
          <w:rFonts w:hint="eastAsia" w:ascii="仿宋" w:hAnsi="仿宋" w:eastAsia="仿宋" w:cs="仿宋"/>
          <w:szCs w:val="21"/>
          <w:highlight w:val="none"/>
        </w:rPr>
        <w:fldChar w:fldCharType="separate"/>
      </w:r>
      <w:r>
        <w:rPr>
          <w:rFonts w:hint="eastAsia" w:ascii="仿宋" w:hAnsi="仿宋" w:eastAsia="仿宋" w:cs="仿宋"/>
          <w:highlight w:val="none"/>
          <w:lang w:val="en-US" w:eastAsia="zh-CN"/>
        </w:rPr>
        <w:t>附件11：投标人身份证明格式（下列二选一）</w:t>
      </w:r>
      <w:r>
        <w:rPr>
          <w:highlight w:val="none"/>
        </w:rPr>
        <w:tab/>
      </w:r>
      <w:r>
        <w:rPr>
          <w:highlight w:val="none"/>
        </w:rPr>
        <w:fldChar w:fldCharType="begin"/>
      </w:r>
      <w:r>
        <w:rPr>
          <w:highlight w:val="none"/>
        </w:rPr>
        <w:instrText xml:space="preserve"> PAGEREF _Toc6018 \h </w:instrText>
      </w:r>
      <w:r>
        <w:rPr>
          <w:highlight w:val="none"/>
        </w:rPr>
        <w:fldChar w:fldCharType="separate"/>
      </w:r>
      <w:r>
        <w:rPr>
          <w:highlight w:val="none"/>
        </w:rPr>
        <w:t>VI</w:t>
      </w:r>
      <w:r>
        <w:rPr>
          <w:highlight w:val="none"/>
        </w:rPr>
        <w:fldChar w:fldCharType="end"/>
      </w:r>
      <w:r>
        <w:rPr>
          <w:rFonts w:hint="eastAsia" w:ascii="仿宋" w:hAnsi="仿宋" w:eastAsia="仿宋" w:cs="仿宋"/>
          <w:szCs w:val="21"/>
          <w:highlight w:val="none"/>
        </w:rPr>
        <w:fldChar w:fldCharType="end"/>
      </w:r>
    </w:p>
    <w:p w14:paraId="34B15BAB">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_Toc19488 </w:instrText>
      </w:r>
      <w:r>
        <w:rPr>
          <w:rFonts w:hint="eastAsia" w:ascii="仿宋" w:hAnsi="仿宋" w:eastAsia="仿宋" w:cs="仿宋"/>
          <w:szCs w:val="21"/>
          <w:highlight w:val="none"/>
        </w:rPr>
        <w:fldChar w:fldCharType="separate"/>
      </w:r>
      <w:r>
        <w:rPr>
          <w:rFonts w:hint="eastAsia" w:ascii="仿宋" w:hAnsi="仿宋" w:eastAsia="仿宋" w:cs="仿宋"/>
          <w:highlight w:val="none"/>
          <w:lang w:val="en-US" w:eastAsia="zh-CN"/>
        </w:rPr>
        <w:t>附件12：电子版投标文件密码（格式自拟）</w:t>
      </w:r>
      <w:r>
        <w:rPr>
          <w:highlight w:val="none"/>
        </w:rPr>
        <w:tab/>
      </w:r>
      <w:r>
        <w:rPr>
          <w:highlight w:val="none"/>
        </w:rPr>
        <w:fldChar w:fldCharType="begin"/>
      </w:r>
      <w:r>
        <w:rPr>
          <w:highlight w:val="none"/>
        </w:rPr>
        <w:instrText xml:space="preserve"> PAGEREF _Toc19488 \h </w:instrText>
      </w:r>
      <w:r>
        <w:rPr>
          <w:highlight w:val="none"/>
        </w:rPr>
        <w:fldChar w:fldCharType="separate"/>
      </w:r>
      <w:r>
        <w:rPr>
          <w:highlight w:val="none"/>
        </w:rPr>
        <w:t>VIII</w:t>
      </w:r>
      <w:r>
        <w:rPr>
          <w:highlight w:val="none"/>
        </w:rPr>
        <w:fldChar w:fldCharType="end"/>
      </w:r>
      <w:r>
        <w:rPr>
          <w:rFonts w:hint="eastAsia" w:ascii="仿宋" w:hAnsi="仿宋" w:eastAsia="仿宋" w:cs="仿宋"/>
          <w:szCs w:val="21"/>
          <w:highlight w:val="none"/>
        </w:rPr>
        <w:fldChar w:fldCharType="end"/>
      </w:r>
    </w:p>
    <w:p w14:paraId="62F62107">
      <w:pPr>
        <w:pStyle w:val="15"/>
        <w:tabs>
          <w:tab w:val="right" w:leader="dot" w:pos="9070"/>
        </w:tabs>
        <w:spacing w:line="240" w:lineRule="auto"/>
        <w:rPr>
          <w:highlight w:val="none"/>
        </w:rPr>
      </w:pPr>
      <w:r>
        <w:rPr>
          <w:rFonts w:hint="eastAsia" w:ascii="仿宋" w:hAnsi="仿宋" w:eastAsia="仿宋" w:cs="仿宋"/>
          <w:szCs w:val="21"/>
          <w:highlight w:val="none"/>
        </w:rPr>
        <w:fldChar w:fldCharType="begin"/>
      </w:r>
      <w:r>
        <w:rPr>
          <w:rFonts w:hint="eastAsia" w:ascii="仿宋" w:hAnsi="仿宋" w:eastAsia="仿宋" w:cs="仿宋"/>
          <w:szCs w:val="21"/>
          <w:highlight w:val="none"/>
        </w:rPr>
        <w:instrText xml:space="preserve"> HYPERLINK \l _Toc21473 </w:instrText>
      </w:r>
      <w:r>
        <w:rPr>
          <w:rFonts w:hint="eastAsia" w:ascii="仿宋" w:hAnsi="仿宋" w:eastAsia="仿宋" w:cs="仿宋"/>
          <w:szCs w:val="21"/>
          <w:highlight w:val="none"/>
        </w:rPr>
        <w:fldChar w:fldCharType="separate"/>
      </w:r>
      <w:r>
        <w:rPr>
          <w:rFonts w:hint="eastAsia" w:ascii="仿宋" w:hAnsi="仿宋" w:eastAsia="仿宋" w:cs="仿宋"/>
          <w:highlight w:val="none"/>
          <w:lang w:val="en-US" w:eastAsia="zh-CN"/>
        </w:rPr>
        <w:t>附件13：</w:t>
      </w:r>
      <w:r>
        <w:rPr>
          <w:rFonts w:hint="eastAsia" w:ascii="仿宋" w:hAnsi="仿宋" w:eastAsia="仿宋" w:cs="仿宋"/>
          <w:highlight w:val="none"/>
        </w:rPr>
        <w:t>投标人基本情况表</w:t>
      </w:r>
      <w:r>
        <w:rPr>
          <w:highlight w:val="none"/>
        </w:rPr>
        <w:tab/>
      </w:r>
      <w:r>
        <w:rPr>
          <w:highlight w:val="none"/>
        </w:rPr>
        <w:fldChar w:fldCharType="begin"/>
      </w:r>
      <w:r>
        <w:rPr>
          <w:highlight w:val="none"/>
        </w:rPr>
        <w:instrText xml:space="preserve"> PAGEREF _Toc21473 \h </w:instrText>
      </w:r>
      <w:r>
        <w:rPr>
          <w:highlight w:val="none"/>
        </w:rPr>
        <w:fldChar w:fldCharType="separate"/>
      </w:r>
      <w:r>
        <w:rPr>
          <w:highlight w:val="none"/>
        </w:rPr>
        <w:t>IX</w:t>
      </w:r>
      <w:r>
        <w:rPr>
          <w:highlight w:val="none"/>
        </w:rPr>
        <w:fldChar w:fldCharType="end"/>
      </w:r>
      <w:r>
        <w:rPr>
          <w:rFonts w:hint="eastAsia" w:ascii="仿宋" w:hAnsi="仿宋" w:eastAsia="仿宋" w:cs="仿宋"/>
          <w:szCs w:val="21"/>
          <w:highlight w:val="none"/>
        </w:rPr>
        <w:fldChar w:fldCharType="end"/>
      </w:r>
    </w:p>
    <w:p w14:paraId="44E2F3F7">
      <w:pPr>
        <w:shd w:val="clear"/>
        <w:spacing w:line="240" w:lineRule="auto"/>
        <w:jc w:val="center"/>
        <w:rPr>
          <w:rFonts w:hint="eastAsia" w:ascii="仿宋" w:hAnsi="仿宋" w:eastAsia="仿宋" w:cs="仿宋"/>
          <w:sz w:val="21"/>
          <w:szCs w:val="21"/>
          <w:highlight w:val="none"/>
        </w:rPr>
      </w:pPr>
      <w:r>
        <w:rPr>
          <w:rFonts w:hint="eastAsia" w:ascii="仿宋" w:hAnsi="仿宋" w:eastAsia="仿宋" w:cs="仿宋"/>
          <w:b/>
          <w:sz w:val="21"/>
          <w:szCs w:val="21"/>
          <w:highlight w:val="none"/>
        </w:rPr>
        <w:fldChar w:fldCharType="end"/>
      </w:r>
    </w:p>
    <w:p w14:paraId="65B8A596">
      <w:pPr>
        <w:shd w:val="clear"/>
        <w:rPr>
          <w:rFonts w:hint="eastAsia" w:ascii="仿宋" w:hAnsi="仿宋" w:eastAsia="仿宋" w:cs="仿宋"/>
          <w:sz w:val="24"/>
          <w:highlight w:val="none"/>
        </w:rPr>
      </w:pPr>
      <w:r>
        <w:rPr>
          <w:rFonts w:hint="eastAsia" w:ascii="仿宋" w:hAnsi="仿宋" w:eastAsia="仿宋" w:cs="仿宋"/>
          <w:sz w:val="24"/>
          <w:highlight w:val="none"/>
        </w:rPr>
        <w:br w:type="page"/>
      </w:r>
    </w:p>
    <w:p w14:paraId="657330AC">
      <w:pPr>
        <w:pStyle w:val="2"/>
        <w:shd w:val="clear"/>
        <w:jc w:val="center"/>
        <w:rPr>
          <w:rFonts w:hint="eastAsia" w:ascii="仿宋" w:hAnsi="仿宋" w:eastAsia="仿宋" w:cs="仿宋"/>
          <w:sz w:val="32"/>
          <w:szCs w:val="32"/>
          <w:highlight w:val="none"/>
          <w:lang w:eastAsia="zh-CN"/>
        </w:rPr>
      </w:pPr>
      <w:bookmarkStart w:id="0" w:name="_Toc14478"/>
      <w:bookmarkStart w:id="1" w:name="_Toc21463"/>
      <w:bookmarkStart w:id="2" w:name="_Toc29949"/>
      <w:bookmarkStart w:id="3" w:name="_Toc4786"/>
      <w:bookmarkStart w:id="4" w:name="_Toc29098"/>
      <w:r>
        <w:rPr>
          <w:rFonts w:hint="eastAsia" w:ascii="仿宋" w:hAnsi="仿宋" w:eastAsia="仿宋" w:cs="仿宋"/>
          <w:sz w:val="32"/>
          <w:szCs w:val="32"/>
          <w:highlight w:val="none"/>
        </w:rPr>
        <w:t>第一章</w:t>
      </w:r>
      <w:r>
        <w:rPr>
          <w:rFonts w:hint="eastAsia" w:ascii="仿宋" w:hAnsi="仿宋" w:eastAsia="仿宋" w:cs="仿宋"/>
          <w:sz w:val="32"/>
          <w:szCs w:val="32"/>
          <w:highlight w:val="none"/>
          <w:lang w:val="en-US" w:eastAsia="zh-CN"/>
        </w:rPr>
        <w:t>招标</w:t>
      </w:r>
      <w:r>
        <w:rPr>
          <w:rFonts w:hint="eastAsia" w:ascii="仿宋" w:hAnsi="仿宋" w:eastAsia="仿宋" w:cs="仿宋"/>
          <w:sz w:val="32"/>
          <w:szCs w:val="32"/>
          <w:highlight w:val="none"/>
          <w:lang w:eastAsia="zh-CN"/>
        </w:rPr>
        <w:t>邀请</w:t>
      </w:r>
      <w:bookmarkEnd w:id="0"/>
      <w:bookmarkEnd w:id="1"/>
      <w:bookmarkEnd w:id="2"/>
      <w:bookmarkEnd w:id="3"/>
      <w:bookmarkEnd w:id="4"/>
    </w:p>
    <w:p w14:paraId="0F8F9953">
      <w:pPr>
        <w:shd w:val="clear"/>
        <w:spacing w:before="156" w:beforeLines="50"/>
        <w:outlineLvl w:val="9"/>
        <w:rPr>
          <w:rFonts w:hint="eastAsia" w:ascii="仿宋" w:hAnsi="仿宋" w:eastAsia="仿宋" w:cs="仿宋"/>
          <w:b/>
          <w:bCs/>
          <w:color w:val="FF0000"/>
          <w:sz w:val="24"/>
          <w:highlight w:val="none"/>
          <w:lang w:eastAsia="zh-CN"/>
        </w:rPr>
      </w:pPr>
      <w:r>
        <w:rPr>
          <w:rFonts w:hint="eastAsia" w:ascii="仿宋" w:hAnsi="仿宋" w:eastAsia="仿宋" w:cs="仿宋"/>
          <w:b/>
          <w:bCs/>
          <w:color w:val="FF0000"/>
          <w:sz w:val="24"/>
          <w:highlight w:val="none"/>
          <w:lang w:val="en-US" w:eastAsia="zh-CN"/>
        </w:rPr>
        <w:t>开标</w:t>
      </w:r>
      <w:r>
        <w:rPr>
          <w:rFonts w:hint="eastAsia" w:ascii="仿宋" w:hAnsi="仿宋" w:eastAsia="仿宋" w:cs="仿宋"/>
          <w:b/>
          <w:bCs/>
          <w:color w:val="FF0000"/>
          <w:sz w:val="24"/>
          <w:highlight w:val="none"/>
        </w:rPr>
        <w:t>日期：</w:t>
      </w:r>
      <w:r>
        <w:rPr>
          <w:rFonts w:hint="eastAsia" w:ascii="仿宋" w:hAnsi="仿宋" w:eastAsia="仿宋" w:cs="仿宋"/>
          <w:b/>
          <w:bCs/>
          <w:color w:val="FF0000"/>
          <w:sz w:val="24"/>
          <w:highlight w:val="none"/>
          <w:lang w:eastAsia="zh-CN"/>
        </w:rPr>
        <w:t>2026年</w:t>
      </w:r>
      <w:r>
        <w:rPr>
          <w:rFonts w:hint="eastAsia" w:ascii="仿宋" w:hAnsi="仿宋" w:eastAsia="仿宋" w:cs="仿宋"/>
          <w:b/>
          <w:bCs/>
          <w:color w:val="FF0000"/>
          <w:sz w:val="24"/>
          <w:highlight w:val="none"/>
          <w:lang w:val="en-US" w:eastAsia="zh-CN"/>
        </w:rPr>
        <w:t>7月16日</w:t>
      </w:r>
    </w:p>
    <w:p w14:paraId="5BEA6E17">
      <w:pPr>
        <w:shd w:val="clear"/>
        <w:spacing w:before="156" w:beforeLines="50"/>
        <w:outlineLvl w:val="9"/>
        <w:rPr>
          <w:rFonts w:hint="eastAsia" w:ascii="仿宋" w:hAnsi="仿宋" w:eastAsia="仿宋" w:cs="仿宋"/>
          <w:sz w:val="24"/>
          <w:highlight w:val="none"/>
          <w:lang w:eastAsia="zh-CN"/>
        </w:rPr>
      </w:pPr>
      <w:bookmarkStart w:id="5" w:name="_Toc18649"/>
      <w:bookmarkStart w:id="6" w:name="_Toc14622"/>
      <w:bookmarkStart w:id="7" w:name="_Toc4575"/>
      <w:r>
        <w:rPr>
          <w:rFonts w:hint="eastAsia" w:ascii="仿宋" w:hAnsi="仿宋" w:eastAsia="仿宋" w:cs="仿宋"/>
          <w:sz w:val="24"/>
          <w:highlight w:val="none"/>
        </w:rPr>
        <w:t>邀标编号：</w:t>
      </w:r>
      <w:bookmarkEnd w:id="5"/>
      <w:bookmarkEnd w:id="6"/>
      <w:bookmarkEnd w:id="7"/>
      <w:r>
        <w:rPr>
          <w:rFonts w:hint="eastAsia" w:ascii="仿宋" w:hAnsi="仿宋" w:eastAsia="仿宋" w:cs="仿宋"/>
          <w:kern w:val="0"/>
          <w:sz w:val="24"/>
          <w:highlight w:val="none"/>
          <w:lang w:eastAsia="zh-CN"/>
        </w:rPr>
        <w:t>cddl-xxb-2026-031</w:t>
      </w:r>
    </w:p>
    <w:p w14:paraId="58978AB1">
      <w:pPr>
        <w:shd w:val="clear"/>
        <w:spacing w:before="156" w:beforeLines="50" w:line="360" w:lineRule="auto"/>
        <w:ind w:firstLine="480"/>
        <w:outlineLvl w:val="9"/>
        <w:rPr>
          <w:rFonts w:hint="eastAsia" w:ascii="仿宋" w:hAnsi="仿宋" w:eastAsia="仿宋" w:cs="仿宋"/>
          <w:sz w:val="24"/>
          <w:highlight w:val="none"/>
        </w:rPr>
      </w:pPr>
      <w:r>
        <w:rPr>
          <w:rFonts w:hint="eastAsia" w:ascii="仿宋" w:hAnsi="仿宋" w:eastAsia="仿宋" w:cs="仿宋"/>
          <w:sz w:val="24"/>
          <w:highlight w:val="none"/>
        </w:rPr>
        <w:t>成都三博东篱医院有限公司就利用其</w:t>
      </w:r>
      <w:r>
        <w:rPr>
          <w:rFonts w:hint="eastAsia" w:ascii="仿宋" w:hAnsi="仿宋" w:eastAsia="仿宋" w:cs="仿宋"/>
          <w:sz w:val="24"/>
          <w:highlight w:val="none"/>
          <w:u w:val="single"/>
        </w:rPr>
        <w:t>自筹资金</w:t>
      </w:r>
      <w:r>
        <w:rPr>
          <w:rFonts w:hint="eastAsia" w:ascii="仿宋" w:hAnsi="仿宋" w:eastAsia="仿宋" w:cs="仿宋"/>
          <w:sz w:val="24"/>
          <w:highlight w:val="none"/>
        </w:rPr>
        <w:t>进行</w:t>
      </w:r>
      <w:r>
        <w:rPr>
          <w:rFonts w:hint="eastAsia" w:ascii="仿宋" w:hAnsi="仿宋" w:eastAsia="仿宋" w:cs="仿宋"/>
          <w:sz w:val="24"/>
          <w:highlight w:val="none"/>
          <w:u w:val="single"/>
          <w:lang w:eastAsia="zh-CN"/>
        </w:rPr>
        <w:t>招标</w:t>
      </w:r>
      <w:r>
        <w:rPr>
          <w:rFonts w:hint="eastAsia" w:ascii="仿宋" w:hAnsi="仿宋" w:eastAsia="仿宋" w:cs="仿宋"/>
          <w:sz w:val="24"/>
          <w:highlight w:val="none"/>
          <w:u w:val="single"/>
        </w:rPr>
        <w:t>采购</w:t>
      </w:r>
      <w:r>
        <w:rPr>
          <w:rFonts w:hint="eastAsia" w:ascii="仿宋" w:hAnsi="仿宋" w:eastAsia="仿宋" w:cs="仿宋"/>
          <w:sz w:val="24"/>
          <w:highlight w:val="none"/>
        </w:rPr>
        <w:t>。现邀请合格投标人就下列</w:t>
      </w:r>
      <w:r>
        <w:rPr>
          <w:rFonts w:hint="eastAsia" w:ascii="仿宋" w:hAnsi="仿宋" w:eastAsia="仿宋" w:cs="仿宋"/>
          <w:sz w:val="24"/>
          <w:highlight w:val="none"/>
          <w:lang w:val="en-US" w:eastAsia="zh-CN"/>
        </w:rPr>
        <w:t>内容</w:t>
      </w:r>
      <w:r>
        <w:rPr>
          <w:rFonts w:hint="eastAsia" w:ascii="仿宋" w:hAnsi="仿宋" w:eastAsia="仿宋" w:cs="仿宋"/>
          <w:sz w:val="24"/>
          <w:highlight w:val="none"/>
        </w:rPr>
        <w:t>按此邀请制作投标文件，加盖公章（或投标专用章）密封投标。</w:t>
      </w:r>
    </w:p>
    <w:p w14:paraId="32EDE67D">
      <w:pPr>
        <w:pStyle w:val="3"/>
        <w:keepNext/>
        <w:keepLines/>
        <w:pageBreakBefore w:val="0"/>
        <w:widowControl w:val="0"/>
        <w:numPr>
          <w:ilvl w:val="0"/>
          <w:numId w:val="1"/>
        </w:numPr>
        <w:shd w:val="clear"/>
        <w:kinsoku/>
        <w:wordWrap/>
        <w:overflowPunct/>
        <w:topLinePunct w:val="0"/>
        <w:autoSpaceDE/>
        <w:autoSpaceDN/>
        <w:bidi w:val="0"/>
        <w:adjustRightInd/>
        <w:snapToGrid/>
        <w:spacing w:before="313" w:beforeLines="100" w:line="413" w:lineRule="auto"/>
        <w:ind w:left="425" w:hanging="425"/>
        <w:textAlignment w:val="auto"/>
        <w:rPr>
          <w:rFonts w:hint="eastAsia" w:ascii="仿宋" w:hAnsi="仿宋" w:eastAsia="仿宋" w:cs="仿宋"/>
          <w:sz w:val="24"/>
          <w:highlight w:val="none"/>
        </w:rPr>
      </w:pPr>
      <w:bookmarkStart w:id="8" w:name="_Toc4527"/>
      <w:bookmarkStart w:id="9" w:name="_Toc1226"/>
      <w:bookmarkStart w:id="10" w:name="_Toc29515"/>
      <w:bookmarkStart w:id="11" w:name="_Toc28054"/>
      <w:bookmarkStart w:id="12" w:name="_Toc16884"/>
      <w:bookmarkStart w:id="13" w:name="_Toc1135"/>
      <w:r>
        <w:rPr>
          <w:rFonts w:hint="eastAsia" w:ascii="仿宋" w:hAnsi="仿宋" w:eastAsia="仿宋" w:cs="仿宋"/>
          <w:sz w:val="24"/>
          <w:highlight w:val="none"/>
        </w:rPr>
        <w:t>邀标内容</w:t>
      </w:r>
      <w:bookmarkEnd w:id="8"/>
      <w:bookmarkEnd w:id="9"/>
      <w:bookmarkEnd w:id="10"/>
      <w:bookmarkEnd w:id="11"/>
      <w:bookmarkEnd w:id="12"/>
      <w:bookmarkEnd w:id="13"/>
    </w:p>
    <w:tbl>
      <w:tblPr>
        <w:tblStyle w:val="19"/>
        <w:tblpPr w:leftFromText="180" w:rightFromText="180" w:vertAnchor="text" w:tblpXSpec="center" w:tblpY="1"/>
        <w:tblOverlap w:val="never"/>
        <w:tblW w:w="992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2367"/>
        <w:gridCol w:w="783"/>
        <w:gridCol w:w="3438"/>
        <w:gridCol w:w="2598"/>
      </w:tblGrid>
      <w:tr w14:paraId="0A9C99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36" w:type="dxa"/>
            <w:vAlign w:val="center"/>
          </w:tcPr>
          <w:p w14:paraId="76BC830C">
            <w:pPr>
              <w:keepNext w:val="0"/>
              <w:keepLines w:val="0"/>
              <w:widowControl/>
              <w:suppressLineNumbers w:val="0"/>
              <w:shd w:val="clear"/>
              <w:snapToGrid w:val="0"/>
              <w:spacing w:before="0" w:beforeAutospacing="0" w:after="0" w:afterAutospacing="0"/>
              <w:ind w:left="0" w:right="0"/>
              <w:jc w:val="center"/>
              <w:rPr>
                <w:rFonts w:hint="eastAsia" w:ascii="仿宋" w:hAnsi="仿宋" w:eastAsia="仿宋" w:cs="仿宋"/>
                <w:kern w:val="0"/>
                <w:sz w:val="24"/>
                <w:highlight w:val="none"/>
              </w:rPr>
            </w:pPr>
            <w:bookmarkStart w:id="14" w:name="OLE_LINK82"/>
            <w:bookmarkStart w:id="15" w:name="OLE_LINK25"/>
            <w:r>
              <w:rPr>
                <w:rFonts w:hint="eastAsia" w:ascii="仿宋" w:hAnsi="仿宋" w:eastAsia="仿宋" w:cs="仿宋"/>
                <w:kern w:val="0"/>
                <w:sz w:val="24"/>
                <w:highlight w:val="none"/>
              </w:rPr>
              <w:t>序号</w:t>
            </w:r>
          </w:p>
        </w:tc>
        <w:tc>
          <w:tcPr>
            <w:tcW w:w="2367" w:type="dxa"/>
            <w:vAlign w:val="center"/>
          </w:tcPr>
          <w:p w14:paraId="05003D3C">
            <w:pPr>
              <w:keepNext w:val="0"/>
              <w:keepLines w:val="0"/>
              <w:widowControl/>
              <w:suppressLineNumbers w:val="0"/>
              <w:shd w:val="clear"/>
              <w:snapToGrid w:val="0"/>
              <w:spacing w:before="0" w:beforeAutospacing="0" w:after="0" w:afterAutospacing="0"/>
              <w:ind w:left="0" w:right="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项目名称</w:t>
            </w:r>
          </w:p>
        </w:tc>
        <w:tc>
          <w:tcPr>
            <w:tcW w:w="783" w:type="dxa"/>
            <w:vAlign w:val="center"/>
          </w:tcPr>
          <w:p w14:paraId="0417C290">
            <w:pPr>
              <w:keepNext w:val="0"/>
              <w:keepLines w:val="0"/>
              <w:widowControl/>
              <w:suppressLineNumbers w:val="0"/>
              <w:shd w:val="clear"/>
              <w:snapToGrid w:val="0"/>
              <w:spacing w:before="0" w:beforeAutospacing="0" w:after="0" w:afterAutospacing="0"/>
              <w:ind w:left="0" w:right="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数量</w:t>
            </w:r>
          </w:p>
          <w:p w14:paraId="5382BCC7">
            <w:pPr>
              <w:keepNext w:val="0"/>
              <w:keepLines w:val="0"/>
              <w:widowControl/>
              <w:suppressLineNumbers w:val="0"/>
              <w:shd w:val="clear"/>
              <w:snapToGrid w:val="0"/>
              <w:spacing w:before="0" w:beforeAutospacing="0" w:after="0" w:afterAutospacing="0"/>
              <w:ind w:left="0" w:right="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(套)</w:t>
            </w:r>
          </w:p>
        </w:tc>
        <w:tc>
          <w:tcPr>
            <w:tcW w:w="3438" w:type="dxa"/>
            <w:vAlign w:val="center"/>
          </w:tcPr>
          <w:p w14:paraId="5020EEB6">
            <w:pPr>
              <w:keepNext w:val="0"/>
              <w:keepLines w:val="0"/>
              <w:widowControl/>
              <w:suppressLineNumbers w:val="0"/>
              <w:shd w:val="clear"/>
              <w:snapToGrid w:val="0"/>
              <w:spacing w:before="0" w:beforeAutospacing="0" w:after="0" w:afterAutospacing="0"/>
              <w:ind w:left="0" w:right="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主要参数</w:t>
            </w:r>
          </w:p>
        </w:tc>
        <w:tc>
          <w:tcPr>
            <w:tcW w:w="2598" w:type="dxa"/>
            <w:vAlign w:val="center"/>
          </w:tcPr>
          <w:p w14:paraId="2B3AD4B7">
            <w:pPr>
              <w:keepNext w:val="0"/>
              <w:keepLines w:val="0"/>
              <w:widowControl/>
              <w:suppressLineNumbers w:val="0"/>
              <w:shd w:val="clear"/>
              <w:snapToGrid w:val="0"/>
              <w:spacing w:before="0" w:beforeAutospacing="0" w:after="0" w:afterAutospacing="0"/>
              <w:ind w:left="0" w:right="0"/>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备注</w:t>
            </w:r>
          </w:p>
        </w:tc>
      </w:tr>
      <w:tr w14:paraId="4EFEBC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36" w:type="dxa"/>
            <w:vAlign w:val="center"/>
          </w:tcPr>
          <w:p w14:paraId="50CB8554">
            <w:pPr>
              <w:keepNext w:val="0"/>
              <w:keepLines w:val="0"/>
              <w:pageBreakBefore w:val="0"/>
              <w:widowControl/>
              <w:suppressLineNumbers w:val="0"/>
              <w:shd w:val="clear"/>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 w:hAnsi="仿宋" w:eastAsia="仿宋" w:cs="仿宋"/>
                <w:kern w:val="0"/>
                <w:sz w:val="24"/>
                <w:highlight w:val="none"/>
              </w:rPr>
            </w:pPr>
            <w:r>
              <w:rPr>
                <w:rFonts w:hint="eastAsia" w:ascii="仿宋" w:hAnsi="仿宋" w:eastAsia="仿宋" w:cs="仿宋"/>
                <w:kern w:val="0"/>
                <w:sz w:val="24"/>
                <w:highlight w:val="none"/>
                <w:lang w:val="en-US" w:eastAsia="zh-CN"/>
              </w:rPr>
              <w:t>采购包</w:t>
            </w:r>
            <w:r>
              <w:rPr>
                <w:rFonts w:hint="eastAsia" w:ascii="仿宋" w:hAnsi="仿宋" w:eastAsia="仿宋" w:cs="仿宋"/>
                <w:kern w:val="0"/>
                <w:sz w:val="24"/>
                <w:highlight w:val="none"/>
              </w:rPr>
              <w:t>1</w:t>
            </w:r>
          </w:p>
        </w:tc>
        <w:tc>
          <w:tcPr>
            <w:tcW w:w="2367" w:type="dxa"/>
          </w:tcPr>
          <w:p w14:paraId="4A489F6B">
            <w:pPr>
              <w:keepNext w:val="0"/>
              <w:keepLines w:val="0"/>
              <w:pageBreakBefore w:val="0"/>
              <w:suppressLineNumbers w:val="0"/>
              <w:shd w:val="clear"/>
              <w:kinsoku/>
              <w:wordWrap/>
              <w:overflowPunct/>
              <w:topLinePunct w:val="0"/>
              <w:autoSpaceDE/>
              <w:autoSpaceDN/>
              <w:bidi w:val="0"/>
              <w:adjustRightInd/>
              <w:spacing w:before="0" w:beforeAutospacing="0" w:after="0" w:afterAutospacing="0" w:line="400" w:lineRule="exact"/>
              <w:ind w:left="0" w:right="0"/>
              <w:textAlignment w:val="auto"/>
              <w:rPr>
                <w:rFonts w:hint="default" w:ascii="仿宋" w:hAnsi="仿宋" w:eastAsia="仿宋" w:cs="仿宋"/>
                <w:sz w:val="24"/>
                <w:highlight w:val="none"/>
                <w:lang w:val="en-US"/>
              </w:rPr>
            </w:pPr>
            <w:r>
              <w:rPr>
                <w:rFonts w:hint="eastAsia" w:ascii="仿宋" w:hAnsi="仿宋" w:eastAsia="仿宋" w:cs="仿宋"/>
                <w:sz w:val="24"/>
                <w:highlight w:val="none"/>
                <w:lang w:val="en-US" w:eastAsia="zh-CN"/>
              </w:rPr>
              <w:t>医保智能审核系统</w:t>
            </w:r>
          </w:p>
        </w:tc>
        <w:tc>
          <w:tcPr>
            <w:tcW w:w="783" w:type="dxa"/>
            <w:vAlign w:val="center"/>
          </w:tcPr>
          <w:p w14:paraId="6A51A771">
            <w:pPr>
              <w:keepNext w:val="0"/>
              <w:keepLines w:val="0"/>
              <w:pageBreakBefore w:val="0"/>
              <w:suppressLineNumbers w:val="0"/>
              <w:shd w:val="clear"/>
              <w:kinsoku/>
              <w:wordWrap/>
              <w:overflowPunct/>
              <w:topLinePunct w:val="0"/>
              <w:autoSpaceDE/>
              <w:autoSpaceDN/>
              <w:bidi w:val="0"/>
              <w:adjustRightInd/>
              <w:spacing w:before="0" w:beforeAutospacing="0" w:after="0" w:afterAutospacing="0"/>
              <w:ind w:left="0" w:right="0"/>
              <w:jc w:val="center"/>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1</w:t>
            </w:r>
            <w:r>
              <w:rPr>
                <w:rFonts w:hint="eastAsia" w:ascii="仿宋" w:hAnsi="仿宋" w:eastAsia="仿宋" w:cs="仿宋"/>
                <w:sz w:val="24"/>
                <w:highlight w:val="none"/>
              </w:rPr>
              <w:t>套</w:t>
            </w:r>
          </w:p>
        </w:tc>
        <w:tc>
          <w:tcPr>
            <w:tcW w:w="3438" w:type="dxa"/>
            <w:vAlign w:val="center"/>
          </w:tcPr>
          <w:p w14:paraId="1D1D6579">
            <w:pPr>
              <w:keepNext w:val="0"/>
              <w:keepLines w:val="0"/>
              <w:suppressLineNumbers w:val="0"/>
              <w:shd w:val="clear"/>
              <w:spacing w:before="0" w:beforeAutospacing="0" w:after="0" w:afterAutospacing="0"/>
              <w:ind w:left="0" w:right="0"/>
              <w:jc w:val="center"/>
              <w:rPr>
                <w:rFonts w:hint="eastAsia" w:ascii="仿宋" w:hAnsi="仿宋" w:eastAsia="仿宋" w:cs="仿宋"/>
                <w:sz w:val="24"/>
                <w:highlight w:val="none"/>
                <w:lang w:val="en-US" w:eastAsia="zh-CN"/>
              </w:rPr>
            </w:pPr>
            <w:r>
              <w:rPr>
                <w:rFonts w:hint="eastAsia" w:ascii="仿宋" w:hAnsi="仿宋" w:eastAsia="仿宋" w:cs="仿宋"/>
                <w:sz w:val="24"/>
                <w:highlight w:val="none"/>
              </w:rPr>
              <w:t>详见</w:t>
            </w:r>
            <w:r>
              <w:rPr>
                <w:rFonts w:hint="eastAsia" w:ascii="仿宋" w:hAnsi="仿宋" w:eastAsia="仿宋" w:cs="仿宋"/>
                <w:sz w:val="24"/>
                <w:highlight w:val="none"/>
                <w:lang w:val="en-US" w:eastAsia="zh-CN"/>
              </w:rPr>
              <w:t>第三章技术</w:t>
            </w:r>
            <w:r>
              <w:rPr>
                <w:rFonts w:hint="eastAsia" w:ascii="仿宋" w:hAnsi="仿宋" w:eastAsia="仿宋" w:cs="仿宋"/>
                <w:sz w:val="24"/>
                <w:highlight w:val="none"/>
              </w:rPr>
              <w:t>要求</w:t>
            </w:r>
            <w:r>
              <w:rPr>
                <w:rFonts w:hint="eastAsia" w:ascii="仿宋" w:hAnsi="仿宋" w:eastAsia="仿宋" w:cs="仿宋"/>
                <w:sz w:val="24"/>
                <w:highlight w:val="none"/>
                <w:lang w:val="en-US" w:eastAsia="zh-CN"/>
              </w:rPr>
              <w:t>第一部分</w:t>
            </w:r>
          </w:p>
        </w:tc>
        <w:tc>
          <w:tcPr>
            <w:tcW w:w="2598" w:type="dxa"/>
            <w:vAlign w:val="center"/>
          </w:tcPr>
          <w:p w14:paraId="1224A065">
            <w:pPr>
              <w:keepNext w:val="0"/>
              <w:keepLines w:val="0"/>
              <w:suppressLineNumbers w:val="0"/>
              <w:shd w:val="clear"/>
              <w:spacing w:before="0" w:beforeAutospacing="0" w:after="0" w:afterAutospacing="0"/>
              <w:ind w:left="0" w:right="0"/>
              <w:jc w:val="center"/>
              <w:rPr>
                <w:rFonts w:hint="eastAsia" w:ascii="仿宋" w:hAnsi="仿宋" w:eastAsia="仿宋" w:cs="仿宋"/>
                <w:sz w:val="24"/>
                <w:highlight w:val="none"/>
              </w:rPr>
            </w:pPr>
            <w:r>
              <w:rPr>
                <w:rFonts w:hint="eastAsia" w:ascii="仿宋" w:hAnsi="仿宋" w:eastAsia="仿宋" w:cs="仿宋"/>
                <w:sz w:val="24"/>
                <w:highlight w:val="none"/>
              </w:rPr>
              <w:t>可单独中标、单独签约</w:t>
            </w:r>
          </w:p>
        </w:tc>
      </w:tr>
      <w:tr w14:paraId="619D06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36" w:type="dxa"/>
            <w:shd w:val="clear" w:color="auto" w:fill="auto"/>
            <w:vAlign w:val="center"/>
          </w:tcPr>
          <w:p w14:paraId="0A91C60B">
            <w:pPr>
              <w:keepNext w:val="0"/>
              <w:keepLines w:val="0"/>
              <w:pageBreakBefore w:val="0"/>
              <w:widowControl/>
              <w:suppressLineNumbers w:val="0"/>
              <w:shd w:val="clear"/>
              <w:kinsoku/>
              <w:wordWrap/>
              <w:overflowPunct/>
              <w:topLinePunct w:val="0"/>
              <w:autoSpaceDE/>
              <w:autoSpaceDN/>
              <w:bidi w:val="0"/>
              <w:adjustRightInd/>
              <w:snapToGrid w:val="0"/>
              <w:spacing w:before="0" w:beforeAutospacing="0" w:after="0" w:afterAutospacing="0"/>
              <w:ind w:left="0" w:leftChars="0" w:right="0" w:rightChars="0"/>
              <w:jc w:val="center"/>
              <w:textAlignment w:val="auto"/>
              <w:rPr>
                <w:rFonts w:hint="default" w:ascii="仿宋" w:hAnsi="仿宋" w:eastAsia="仿宋" w:cs="仿宋"/>
                <w:kern w:val="0"/>
                <w:sz w:val="24"/>
                <w:szCs w:val="24"/>
                <w:highlight w:val="none"/>
                <w:lang w:val="en-US" w:eastAsia="zh-CN" w:bidi="ar-SA"/>
              </w:rPr>
            </w:pPr>
            <w:r>
              <w:rPr>
                <w:rFonts w:hint="eastAsia" w:ascii="仿宋" w:hAnsi="仿宋" w:eastAsia="仿宋" w:cs="仿宋"/>
                <w:kern w:val="0"/>
                <w:sz w:val="24"/>
                <w:highlight w:val="none"/>
                <w:lang w:val="en-US" w:eastAsia="zh-CN"/>
              </w:rPr>
              <w:t>采购包</w:t>
            </w:r>
            <w:r>
              <w:rPr>
                <w:rFonts w:hint="eastAsia" w:ascii="仿宋" w:hAnsi="仿宋" w:eastAsia="仿宋" w:cs="仿宋"/>
                <w:kern w:val="0"/>
                <w:sz w:val="24"/>
                <w:szCs w:val="24"/>
                <w:highlight w:val="none"/>
                <w:lang w:val="en-US" w:eastAsia="zh-CN" w:bidi="ar-SA"/>
              </w:rPr>
              <w:t>2</w:t>
            </w:r>
          </w:p>
        </w:tc>
        <w:tc>
          <w:tcPr>
            <w:tcW w:w="2367" w:type="dxa"/>
            <w:shd w:val="clear" w:color="auto" w:fill="auto"/>
            <w:vAlign w:val="top"/>
          </w:tcPr>
          <w:p w14:paraId="2A423113">
            <w:pPr>
              <w:keepNext w:val="0"/>
              <w:keepLines w:val="0"/>
              <w:pageBreakBefore w:val="0"/>
              <w:suppressLineNumbers w:val="0"/>
              <w:shd w:val="clear"/>
              <w:kinsoku/>
              <w:wordWrap/>
              <w:overflowPunct/>
              <w:topLinePunct w:val="0"/>
              <w:autoSpaceDE/>
              <w:autoSpaceDN/>
              <w:bidi w:val="0"/>
              <w:adjustRightInd/>
              <w:spacing w:before="0" w:beforeAutospacing="0" w:after="0" w:afterAutospacing="0" w:line="400" w:lineRule="exact"/>
              <w:ind w:left="0" w:leftChars="0" w:right="0" w:rightChars="0"/>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sz w:val="24"/>
                <w:highlight w:val="none"/>
                <w:lang w:val="en-US" w:eastAsia="zh-CN"/>
              </w:rPr>
              <w:t>DRG精细化管理系统</w:t>
            </w:r>
          </w:p>
        </w:tc>
        <w:tc>
          <w:tcPr>
            <w:tcW w:w="783" w:type="dxa"/>
            <w:shd w:val="clear" w:color="auto" w:fill="auto"/>
            <w:vAlign w:val="center"/>
          </w:tcPr>
          <w:p w14:paraId="020D6124">
            <w:pPr>
              <w:keepNext w:val="0"/>
              <w:keepLines w:val="0"/>
              <w:pageBreakBefore w:val="0"/>
              <w:suppressLineNumbers w:val="0"/>
              <w:shd w:val="clear"/>
              <w:kinsoku/>
              <w:wordWrap/>
              <w:overflowPunct/>
              <w:topLinePunct w:val="0"/>
              <w:autoSpaceDE/>
              <w:autoSpaceDN/>
              <w:bidi w:val="0"/>
              <w:adjustRightInd/>
              <w:spacing w:before="0" w:beforeAutospacing="0" w:after="0" w:afterAutospacing="0"/>
              <w:ind w:left="0" w:leftChars="0" w:right="0" w:rightChars="0"/>
              <w:jc w:val="center"/>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sz w:val="24"/>
                <w:highlight w:val="none"/>
                <w:lang w:val="en-US" w:eastAsia="zh-CN"/>
              </w:rPr>
              <w:t>1</w:t>
            </w:r>
            <w:r>
              <w:rPr>
                <w:rFonts w:hint="eastAsia" w:ascii="仿宋" w:hAnsi="仿宋" w:eastAsia="仿宋" w:cs="仿宋"/>
                <w:sz w:val="24"/>
                <w:highlight w:val="none"/>
              </w:rPr>
              <w:t>套</w:t>
            </w:r>
          </w:p>
        </w:tc>
        <w:tc>
          <w:tcPr>
            <w:tcW w:w="3438" w:type="dxa"/>
            <w:shd w:val="clear" w:color="auto" w:fill="auto"/>
            <w:vAlign w:val="center"/>
          </w:tcPr>
          <w:p w14:paraId="3D6DA082">
            <w:pPr>
              <w:keepNext w:val="0"/>
              <w:keepLines w:val="0"/>
              <w:suppressLineNumbers w:val="0"/>
              <w:shd w:val="clear"/>
              <w:spacing w:before="0" w:beforeAutospacing="0" w:after="0" w:afterAutospacing="0"/>
              <w:ind w:left="0" w:leftChars="0" w:right="0" w:rightChars="0"/>
              <w:jc w:val="center"/>
              <w:rPr>
                <w:rFonts w:hint="default" w:ascii="仿宋" w:hAnsi="仿宋" w:eastAsia="仿宋" w:cs="仿宋"/>
                <w:kern w:val="2"/>
                <w:sz w:val="24"/>
                <w:szCs w:val="24"/>
                <w:highlight w:val="none"/>
                <w:lang w:val="en-US" w:eastAsia="zh-CN" w:bidi="ar-SA"/>
              </w:rPr>
            </w:pPr>
            <w:r>
              <w:rPr>
                <w:rFonts w:hint="eastAsia" w:ascii="仿宋" w:hAnsi="仿宋" w:eastAsia="仿宋" w:cs="仿宋"/>
                <w:sz w:val="24"/>
                <w:highlight w:val="none"/>
              </w:rPr>
              <w:t>详见</w:t>
            </w:r>
            <w:r>
              <w:rPr>
                <w:rFonts w:hint="eastAsia" w:ascii="仿宋" w:hAnsi="仿宋" w:eastAsia="仿宋" w:cs="仿宋"/>
                <w:sz w:val="24"/>
                <w:highlight w:val="none"/>
                <w:lang w:val="en-US" w:eastAsia="zh-CN"/>
              </w:rPr>
              <w:t>第三章技术</w:t>
            </w:r>
            <w:r>
              <w:rPr>
                <w:rFonts w:hint="eastAsia" w:ascii="仿宋" w:hAnsi="仿宋" w:eastAsia="仿宋" w:cs="仿宋"/>
                <w:sz w:val="24"/>
                <w:highlight w:val="none"/>
              </w:rPr>
              <w:t>要求</w:t>
            </w:r>
            <w:r>
              <w:rPr>
                <w:rFonts w:hint="eastAsia" w:ascii="仿宋" w:hAnsi="仿宋" w:eastAsia="仿宋" w:cs="仿宋"/>
                <w:sz w:val="24"/>
                <w:highlight w:val="none"/>
                <w:lang w:val="en-US" w:eastAsia="zh-CN"/>
              </w:rPr>
              <w:t>第二、三、四部分</w:t>
            </w:r>
          </w:p>
        </w:tc>
        <w:tc>
          <w:tcPr>
            <w:tcW w:w="2598" w:type="dxa"/>
            <w:shd w:val="clear" w:color="auto" w:fill="auto"/>
            <w:vAlign w:val="center"/>
          </w:tcPr>
          <w:p w14:paraId="66DFA914">
            <w:pPr>
              <w:keepNext w:val="0"/>
              <w:keepLines w:val="0"/>
              <w:suppressLineNumbers w:val="0"/>
              <w:shd w:val="clear"/>
              <w:spacing w:before="0" w:beforeAutospacing="0" w:after="0" w:afterAutospacing="0"/>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可单独中标、单独签约</w:t>
            </w:r>
          </w:p>
        </w:tc>
      </w:tr>
      <w:bookmarkEnd w:id="14"/>
      <w:tr w14:paraId="7AF7EC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6" w:type="dxa"/>
            <w:shd w:val="clear" w:color="auto" w:fill="auto"/>
            <w:vAlign w:val="center"/>
          </w:tcPr>
          <w:p w14:paraId="60D327D8">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ind w:left="0" w:leftChars="0" w:right="0" w:rightChars="0"/>
              <w:jc w:val="center"/>
              <w:textAlignment w:val="auto"/>
              <w:rPr>
                <w:rFonts w:hint="default"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bidi="ar-SA"/>
              </w:rPr>
              <w:t>3</w:t>
            </w:r>
          </w:p>
        </w:tc>
        <w:tc>
          <w:tcPr>
            <w:tcW w:w="2367" w:type="dxa"/>
            <w:shd w:val="clear" w:color="auto" w:fill="auto"/>
            <w:vAlign w:val="center"/>
          </w:tcPr>
          <w:p w14:paraId="3F03DFAA">
            <w:pPr>
              <w:keepNext w:val="0"/>
              <w:keepLines w:val="0"/>
              <w:suppressLineNumbers w:val="0"/>
              <w:shd w:val="clear"/>
              <w:snapToGrid w:val="0"/>
              <w:spacing w:before="0" w:beforeAutospacing="0" w:after="0" w:afterAutospacing="0"/>
              <w:ind w:left="0" w:leftChars="0" w:right="0" w:rightChars="0"/>
              <w:jc w:val="left"/>
              <w:rPr>
                <w:rFonts w:hint="eastAsia" w:ascii="仿宋" w:hAnsi="仿宋" w:eastAsia="仿宋" w:cs="仿宋"/>
                <w:kern w:val="0"/>
                <w:sz w:val="24"/>
                <w:szCs w:val="24"/>
                <w:highlight w:val="none"/>
                <w:lang w:val="en-US" w:eastAsia="zh-CN" w:bidi="ar-SA"/>
              </w:rPr>
            </w:pPr>
            <w:r>
              <w:rPr>
                <w:rFonts w:hint="eastAsia" w:ascii="仿宋" w:hAnsi="仿宋" w:eastAsia="仿宋" w:cs="仿宋"/>
                <w:sz w:val="24"/>
                <w:highlight w:val="none"/>
              </w:rPr>
              <w:t>交货期及工期</w:t>
            </w:r>
          </w:p>
        </w:tc>
        <w:tc>
          <w:tcPr>
            <w:tcW w:w="6819" w:type="dxa"/>
            <w:gridSpan w:val="3"/>
            <w:shd w:val="clear" w:color="auto" w:fill="auto"/>
            <w:vAlign w:val="center"/>
          </w:tcPr>
          <w:p w14:paraId="0EC84494">
            <w:pPr>
              <w:keepNext w:val="0"/>
              <w:keepLines w:val="0"/>
              <w:suppressLineNumbers w:val="0"/>
              <w:shd w:val="clear"/>
              <w:spacing w:before="0" w:beforeAutospacing="0" w:after="0" w:afterAutospacing="0"/>
              <w:ind w:left="0" w:leftChars="0" w:right="0" w:rightChars="0"/>
              <w:jc w:val="left"/>
              <w:rPr>
                <w:rFonts w:hint="eastAsia" w:ascii="仿宋" w:hAnsi="仿宋" w:eastAsia="仿宋" w:cs="仿宋"/>
                <w:sz w:val="24"/>
                <w:highlight w:val="none"/>
              </w:rPr>
            </w:pPr>
            <w:r>
              <w:rPr>
                <w:rFonts w:hint="eastAsia" w:ascii="仿宋" w:hAnsi="仿宋" w:eastAsia="仿宋" w:cs="仿宋"/>
                <w:sz w:val="24"/>
                <w:highlight w:val="none"/>
              </w:rPr>
              <w:t>工期</w:t>
            </w:r>
            <w:r>
              <w:rPr>
                <w:rFonts w:hint="eastAsia" w:ascii="仿宋" w:hAnsi="仿宋" w:eastAsia="仿宋" w:cs="仿宋"/>
                <w:sz w:val="24"/>
                <w:highlight w:val="none"/>
                <w:lang w:val="en-US" w:eastAsia="zh-CN"/>
              </w:rPr>
              <w:t>60个工作日（系统</w:t>
            </w:r>
            <w:r>
              <w:rPr>
                <w:rFonts w:hint="eastAsia" w:ascii="仿宋" w:hAnsi="仿宋" w:eastAsia="仿宋" w:cs="仿宋"/>
                <w:sz w:val="24"/>
                <w:highlight w:val="none"/>
                <w:lang w:eastAsia="zh-CN"/>
              </w:rPr>
              <w:t>部署、调试与交付周期</w:t>
            </w:r>
            <w:r>
              <w:rPr>
                <w:rFonts w:hint="eastAsia" w:ascii="仿宋" w:hAnsi="仿宋" w:eastAsia="仿宋" w:cs="仿宋"/>
                <w:sz w:val="24"/>
                <w:highlight w:val="none"/>
                <w:lang w:val="en-US" w:eastAsia="zh-CN"/>
              </w:rPr>
              <w:t>）</w:t>
            </w:r>
            <w:r>
              <w:rPr>
                <w:rFonts w:hint="eastAsia" w:ascii="仿宋" w:hAnsi="仿宋" w:eastAsia="仿宋" w:cs="仿宋"/>
                <w:sz w:val="24"/>
                <w:highlight w:val="none"/>
                <w:lang w:eastAsia="zh-CN"/>
              </w:rPr>
              <w:t>；</w:t>
            </w:r>
          </w:p>
        </w:tc>
      </w:tr>
      <w:tr w14:paraId="2B0A17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6" w:type="dxa"/>
            <w:shd w:val="clear" w:color="auto" w:fill="auto"/>
            <w:vAlign w:val="center"/>
          </w:tcPr>
          <w:p w14:paraId="0F362915">
            <w:pPr>
              <w:keepNext w:val="0"/>
              <w:keepLines w:val="0"/>
              <w:pageBreakBefore w:val="0"/>
              <w:widowControl w:val="0"/>
              <w:suppressLineNumbers w:val="0"/>
              <w:shd w:val="clear"/>
              <w:kinsoku/>
              <w:wordWrap/>
              <w:overflowPunct/>
              <w:topLinePunct w:val="0"/>
              <w:autoSpaceDE/>
              <w:autoSpaceDN/>
              <w:bidi w:val="0"/>
              <w:adjustRightInd/>
              <w:spacing w:before="0" w:beforeAutospacing="0" w:after="0" w:afterAutospacing="0"/>
              <w:ind w:left="0" w:leftChars="0" w:right="0" w:rightChars="0"/>
              <w:jc w:val="center"/>
              <w:textAlignment w:val="auto"/>
              <w:rPr>
                <w:rFonts w:hint="default"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bidi="ar-SA"/>
              </w:rPr>
              <w:t>4</w:t>
            </w:r>
          </w:p>
        </w:tc>
        <w:tc>
          <w:tcPr>
            <w:tcW w:w="2367" w:type="dxa"/>
            <w:shd w:val="clear" w:color="auto" w:fill="auto"/>
            <w:vAlign w:val="center"/>
          </w:tcPr>
          <w:p w14:paraId="70CE606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ind w:left="0" w:leftChars="0" w:right="0" w:rightChars="0"/>
              <w:jc w:val="left"/>
              <w:textAlignment w:val="auto"/>
              <w:rPr>
                <w:rFonts w:hint="eastAsia" w:ascii="仿宋" w:hAnsi="仿宋" w:eastAsia="仿宋" w:cs="仿宋"/>
                <w:kern w:val="0"/>
                <w:sz w:val="24"/>
                <w:szCs w:val="24"/>
                <w:highlight w:val="none"/>
                <w:lang w:val="en-US" w:eastAsia="zh-CN" w:bidi="ar-SA"/>
              </w:rPr>
            </w:pPr>
            <w:r>
              <w:rPr>
                <w:rFonts w:hint="eastAsia" w:ascii="仿宋" w:hAnsi="仿宋" w:eastAsia="仿宋" w:cs="仿宋"/>
                <w:sz w:val="24"/>
                <w:highlight w:val="none"/>
              </w:rPr>
              <w:t>交货地点</w:t>
            </w:r>
          </w:p>
        </w:tc>
        <w:tc>
          <w:tcPr>
            <w:tcW w:w="6819" w:type="dxa"/>
            <w:gridSpan w:val="3"/>
            <w:shd w:val="clear" w:color="auto" w:fill="auto"/>
            <w:vAlign w:val="center"/>
          </w:tcPr>
          <w:p w14:paraId="2E2ED2B8">
            <w:pPr>
              <w:keepNext w:val="0"/>
              <w:keepLines w:val="0"/>
              <w:suppressLineNumbers w:val="0"/>
              <w:shd w:val="clear"/>
              <w:spacing w:before="0" w:beforeAutospacing="0" w:after="0" w:afterAutospacing="0"/>
              <w:ind w:left="0" w:leftChars="0" w:right="0" w:rightChars="0"/>
              <w:jc w:val="left"/>
              <w:rPr>
                <w:rFonts w:hint="eastAsia" w:ascii="仿宋" w:hAnsi="仿宋" w:eastAsia="仿宋" w:cs="仿宋"/>
                <w:sz w:val="24"/>
                <w:highlight w:val="none"/>
              </w:rPr>
            </w:pPr>
            <w:r>
              <w:rPr>
                <w:rFonts w:hint="eastAsia" w:ascii="仿宋" w:hAnsi="仿宋" w:eastAsia="仿宋" w:cs="仿宋"/>
                <w:sz w:val="24"/>
                <w:highlight w:val="none"/>
              </w:rPr>
              <w:t>成都三博东篱医院指定地点</w:t>
            </w:r>
            <w:r>
              <w:rPr>
                <w:rFonts w:hint="eastAsia" w:ascii="仿宋" w:hAnsi="仿宋" w:eastAsia="仿宋" w:cs="仿宋"/>
                <w:sz w:val="24"/>
                <w:highlight w:val="none"/>
                <w:lang w:eastAsia="zh-CN"/>
              </w:rPr>
              <w:t>。</w:t>
            </w:r>
          </w:p>
        </w:tc>
      </w:tr>
      <w:bookmarkEnd w:id="15"/>
    </w:tbl>
    <w:p w14:paraId="30167685">
      <w:pPr>
        <w:keepNext/>
        <w:keepLines/>
        <w:pageBreakBefore w:val="0"/>
        <w:widowControl w:val="0"/>
        <w:shd w:val="clear"/>
        <w:kinsoku/>
        <w:wordWrap/>
        <w:overflowPunct/>
        <w:topLinePunct w:val="0"/>
        <w:autoSpaceDE/>
        <w:autoSpaceDN/>
        <w:bidi w:val="0"/>
        <w:adjustRightInd/>
        <w:snapToGrid/>
        <w:spacing w:before="157" w:beforeLines="50"/>
        <w:ind w:left="0"/>
        <w:textAlignment w:val="auto"/>
        <w:outlineLvl w:val="9"/>
        <w:rPr>
          <w:rFonts w:hint="eastAsia" w:ascii="仿宋" w:hAnsi="仿宋" w:eastAsia="仿宋" w:cs="仿宋"/>
          <w:sz w:val="24"/>
          <w:highlight w:val="none"/>
        </w:rPr>
      </w:pPr>
      <w:bookmarkStart w:id="16" w:name="_Toc19319"/>
      <w:bookmarkStart w:id="17" w:name="_Toc32447"/>
      <w:bookmarkStart w:id="18" w:name="_Toc8391"/>
      <w:bookmarkStart w:id="19" w:name="_Toc26422"/>
      <w:r>
        <w:rPr>
          <w:rFonts w:hint="eastAsia" w:ascii="仿宋" w:hAnsi="仿宋" w:eastAsia="仿宋" w:cs="仿宋"/>
          <w:sz w:val="24"/>
          <w:highlight w:val="none"/>
        </w:rPr>
        <w:t>特别说明：</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本项目允许两个系统分别确定中标人，若分系统授标，招标人将与各中标人分别签订独立采购合同，权利义务互不关联。</w:t>
      </w:r>
    </w:p>
    <w:p w14:paraId="2410A380">
      <w:pPr>
        <w:keepNext/>
        <w:keepLines/>
        <w:pageBreakBefore w:val="0"/>
        <w:widowControl w:val="0"/>
        <w:shd w:val="clear"/>
        <w:kinsoku/>
        <w:wordWrap/>
        <w:overflowPunct/>
        <w:topLinePunct w:val="0"/>
        <w:autoSpaceDE/>
        <w:autoSpaceDN/>
        <w:bidi w:val="0"/>
        <w:adjustRightInd/>
        <w:snapToGrid/>
        <w:spacing w:before="0" w:beforeLines="0"/>
        <w:ind w:left="0"/>
        <w:textAlignment w:val="auto"/>
        <w:outlineLvl w:val="9"/>
        <w:rPr>
          <w:rFonts w:hint="eastAsia" w:ascii="仿宋" w:hAnsi="仿宋" w:eastAsia="仿宋" w:cs="仿宋"/>
          <w:sz w:val="24"/>
          <w:highlight w:val="none"/>
        </w:rPr>
      </w:pPr>
      <w:r>
        <w:rPr>
          <w:rFonts w:hint="eastAsia" w:ascii="仿宋" w:hAnsi="仿宋" w:eastAsia="仿宋" w:cs="仿宋"/>
          <w:sz w:val="24"/>
          <w:highlight w:val="none"/>
          <w:lang w:val="en-US" w:eastAsia="zh-CN"/>
        </w:rPr>
        <w:t>2、</w:t>
      </w:r>
      <w:r>
        <w:rPr>
          <w:rFonts w:hint="eastAsia" w:ascii="仿宋" w:hAnsi="仿宋" w:eastAsia="仿宋" w:cs="仿宋"/>
          <w:sz w:val="24"/>
          <w:highlight w:val="none"/>
        </w:rPr>
        <w:t>交货期及工期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①</w:t>
      </w:r>
      <w:r>
        <w:rPr>
          <w:rFonts w:hint="eastAsia" w:ascii="仿宋" w:hAnsi="仿宋" w:eastAsia="仿宋" w:cs="仿宋"/>
          <w:sz w:val="24"/>
          <w:highlight w:val="none"/>
        </w:rPr>
        <w:t>‌整体实施：若本项目由单一投标人中标并负责整个“医保智能审核和DRG精细化管理系统”的实施，则总工期为 ‌60个工作日‌。该工期指自合同生效后，完成全部系统的部署、调试直至最终交付的周期。</w:t>
      </w:r>
    </w:p>
    <w:p w14:paraId="55AE92F1">
      <w:pPr>
        <w:keepNext/>
        <w:keepLines/>
        <w:pageBreakBefore w:val="0"/>
        <w:widowControl w:val="0"/>
        <w:shd w:val="clear"/>
        <w:kinsoku/>
        <w:wordWrap/>
        <w:overflowPunct/>
        <w:topLinePunct w:val="0"/>
        <w:autoSpaceDE/>
        <w:autoSpaceDN/>
        <w:bidi w:val="0"/>
        <w:adjustRightInd/>
        <w:snapToGrid/>
        <w:spacing w:before="0" w:beforeLines="0"/>
        <w:ind w:left="0"/>
        <w:textAlignment w:val="auto"/>
        <w:outlineLvl w:val="9"/>
        <w:rPr>
          <w:rFonts w:hint="eastAsia" w:ascii="仿宋" w:hAnsi="仿宋" w:eastAsia="仿宋" w:cs="仿宋"/>
          <w:sz w:val="24"/>
          <w:highlight w:val="none"/>
        </w:rPr>
      </w:pPr>
      <w:r>
        <w:rPr>
          <w:rFonts w:hint="eastAsia" w:ascii="仿宋" w:hAnsi="仿宋" w:eastAsia="仿宋" w:cs="仿宋"/>
          <w:sz w:val="24"/>
          <w:highlight w:val="none"/>
          <w:lang w:val="en-US" w:eastAsia="zh-CN"/>
        </w:rPr>
        <w:t>②</w:t>
      </w:r>
      <w:r>
        <w:rPr>
          <w:rFonts w:hint="eastAsia" w:ascii="仿宋" w:hAnsi="仿宋" w:eastAsia="仿宋" w:cs="仿宋"/>
          <w:sz w:val="24"/>
          <w:highlight w:val="none"/>
        </w:rPr>
        <w:t>‌分项实施：若本项目中的“DRG</w:t>
      </w:r>
      <w:r>
        <w:rPr>
          <w:rFonts w:hint="eastAsia" w:ascii="仿宋" w:hAnsi="仿宋" w:eastAsia="仿宋" w:cs="仿宋"/>
          <w:sz w:val="24"/>
          <w:highlight w:val="none"/>
          <w:lang w:val="en-US" w:eastAsia="zh-CN"/>
        </w:rPr>
        <w:t>精细化</w:t>
      </w:r>
      <w:r>
        <w:rPr>
          <w:rFonts w:hint="eastAsia" w:ascii="仿宋" w:hAnsi="仿宋" w:eastAsia="仿宋" w:cs="仿宋"/>
          <w:sz w:val="24"/>
          <w:highlight w:val="none"/>
        </w:rPr>
        <w:t>管理系统”与“医保智能审核系统”作为两个独立包件，由不同的投标人分别中标并实施，则：两个分系统各自的实施工期‌分别计算‌，每个分系统的工期均为 ‌60个工作日‌。招标人有权要求两个中标单位协调工作计划，确保整体项目协同推进。</w:t>
      </w:r>
    </w:p>
    <w:p w14:paraId="62671D37">
      <w:pPr>
        <w:keepNext/>
        <w:keepLines/>
        <w:pageBreakBefore w:val="0"/>
        <w:widowControl w:val="0"/>
        <w:shd w:val="clear"/>
        <w:kinsoku/>
        <w:wordWrap/>
        <w:overflowPunct/>
        <w:topLinePunct w:val="0"/>
        <w:autoSpaceDE/>
        <w:autoSpaceDN/>
        <w:bidi w:val="0"/>
        <w:adjustRightInd/>
        <w:snapToGrid/>
        <w:spacing w:before="0" w:beforeLines="0"/>
        <w:ind w:left="0"/>
        <w:textAlignment w:val="auto"/>
        <w:outlineLvl w:val="9"/>
        <w:rPr>
          <w:rFonts w:hint="eastAsia" w:ascii="仿宋" w:hAnsi="仿宋" w:eastAsia="仿宋" w:cs="仿宋"/>
          <w:sz w:val="24"/>
          <w:highlight w:val="none"/>
          <w:lang w:val="en-US" w:eastAsia="zh-CN"/>
        </w:rPr>
      </w:pPr>
      <w:r>
        <w:rPr>
          <w:rFonts w:hint="eastAsia" w:ascii="仿宋" w:hAnsi="仿宋" w:eastAsia="仿宋" w:cs="仿宋"/>
          <w:b w:val="0"/>
          <w:bCs w:val="0"/>
          <w:i w:val="0"/>
          <w:iCs w:val="0"/>
          <w:caps w:val="0"/>
          <w:spacing w:val="0"/>
          <w:sz w:val="24"/>
          <w:szCs w:val="24"/>
          <w:highlight w:val="none"/>
          <w:shd w:val="clear"/>
          <w:lang w:val="en-US" w:eastAsia="zh-CN"/>
        </w:rPr>
        <w:t>③</w:t>
      </w:r>
      <w:r>
        <w:rPr>
          <w:rFonts w:hint="eastAsia" w:ascii="仿宋" w:hAnsi="仿宋" w:eastAsia="仿宋" w:cs="仿宋"/>
          <w:i w:val="0"/>
          <w:iCs w:val="0"/>
          <w:caps w:val="0"/>
          <w:spacing w:val="0"/>
          <w:sz w:val="24"/>
          <w:szCs w:val="24"/>
          <w:highlight w:val="none"/>
          <w:shd w:val="clear"/>
        </w:rPr>
        <w:t>工期的计算起点以</w:t>
      </w:r>
      <w:r>
        <w:rPr>
          <w:rFonts w:hint="eastAsia" w:ascii="仿宋" w:hAnsi="仿宋" w:eastAsia="仿宋" w:cs="仿宋"/>
          <w:i w:val="0"/>
          <w:iCs w:val="0"/>
          <w:caps w:val="0"/>
          <w:spacing w:val="0"/>
          <w:sz w:val="24"/>
          <w:szCs w:val="24"/>
          <w:highlight w:val="none"/>
          <w:shd w:val="clear"/>
          <w:lang w:val="en-US" w:eastAsia="zh-CN"/>
        </w:rPr>
        <w:t>投标人向</w:t>
      </w:r>
      <w:r>
        <w:rPr>
          <w:rFonts w:hint="eastAsia" w:ascii="仿宋" w:hAnsi="仿宋" w:eastAsia="仿宋" w:cs="仿宋"/>
          <w:i w:val="0"/>
          <w:iCs w:val="0"/>
          <w:caps w:val="0"/>
          <w:spacing w:val="0"/>
          <w:sz w:val="24"/>
          <w:szCs w:val="24"/>
          <w:highlight w:val="none"/>
          <w:shd w:val="clear"/>
        </w:rPr>
        <w:t>招标人</w:t>
      </w:r>
      <w:r>
        <w:rPr>
          <w:rFonts w:hint="eastAsia" w:ascii="仿宋" w:hAnsi="仿宋" w:eastAsia="仿宋" w:cs="仿宋"/>
          <w:i w:val="0"/>
          <w:iCs w:val="0"/>
          <w:caps w:val="0"/>
          <w:spacing w:val="0"/>
          <w:sz w:val="24"/>
          <w:szCs w:val="24"/>
          <w:highlight w:val="none"/>
          <w:shd w:val="clear"/>
          <w:lang w:val="en-US" w:eastAsia="zh-CN"/>
        </w:rPr>
        <w:t>签署进场通知单</w:t>
      </w:r>
      <w:r>
        <w:rPr>
          <w:rFonts w:hint="eastAsia" w:ascii="仿宋" w:hAnsi="仿宋" w:eastAsia="仿宋" w:cs="仿宋"/>
          <w:i w:val="0"/>
          <w:iCs w:val="0"/>
          <w:caps w:val="0"/>
          <w:spacing w:val="0"/>
          <w:sz w:val="24"/>
          <w:szCs w:val="24"/>
          <w:highlight w:val="none"/>
          <w:shd w:val="clear"/>
        </w:rPr>
        <w:t>之日起计。</w:t>
      </w:r>
    </w:p>
    <w:p w14:paraId="6EB8F8DE">
      <w:pPr>
        <w:pStyle w:val="3"/>
        <w:keepNext/>
        <w:keepLines/>
        <w:pageBreakBefore w:val="0"/>
        <w:widowControl w:val="0"/>
        <w:numPr>
          <w:ilvl w:val="0"/>
          <w:numId w:val="1"/>
        </w:numPr>
        <w:shd w:val="clear"/>
        <w:kinsoku/>
        <w:wordWrap/>
        <w:overflowPunct/>
        <w:topLinePunct w:val="0"/>
        <w:autoSpaceDE/>
        <w:autoSpaceDN/>
        <w:bidi w:val="0"/>
        <w:adjustRightInd/>
        <w:snapToGrid/>
        <w:spacing w:before="313" w:beforeLines="100" w:line="413" w:lineRule="auto"/>
        <w:ind w:left="425" w:hanging="425"/>
        <w:textAlignment w:val="auto"/>
        <w:rPr>
          <w:rFonts w:hint="eastAsia" w:ascii="仿宋" w:hAnsi="仿宋" w:eastAsia="仿宋" w:cs="仿宋"/>
          <w:sz w:val="24"/>
          <w:highlight w:val="none"/>
        </w:rPr>
      </w:pPr>
      <w:bookmarkStart w:id="20" w:name="_Toc24070"/>
      <w:bookmarkStart w:id="21" w:name="_Toc11682"/>
      <w:r>
        <w:rPr>
          <w:rFonts w:hint="eastAsia" w:ascii="仿宋" w:hAnsi="仿宋" w:eastAsia="仿宋" w:cs="仿宋"/>
          <w:sz w:val="24"/>
          <w:highlight w:val="none"/>
        </w:rPr>
        <w:t>投标人资格要求</w:t>
      </w:r>
      <w:bookmarkEnd w:id="16"/>
      <w:bookmarkEnd w:id="17"/>
      <w:bookmarkEnd w:id="18"/>
      <w:bookmarkEnd w:id="19"/>
      <w:bookmarkEnd w:id="20"/>
      <w:bookmarkEnd w:id="21"/>
    </w:p>
    <w:p w14:paraId="645D473D">
      <w:pPr>
        <w:numPr>
          <w:ilvl w:val="1"/>
          <w:numId w:val="2"/>
        </w:numPr>
        <w:shd w:val="clear"/>
        <w:spacing w:before="156" w:beforeLines="50"/>
        <w:ind w:left="0" w:firstLine="0"/>
        <w:rPr>
          <w:rFonts w:hint="eastAsia" w:ascii="仿宋" w:hAnsi="仿宋" w:eastAsia="仿宋" w:cs="仿宋"/>
          <w:sz w:val="24"/>
          <w:highlight w:val="none"/>
        </w:rPr>
      </w:pPr>
      <w:r>
        <w:rPr>
          <w:rFonts w:hint="eastAsia" w:ascii="仿宋" w:hAnsi="仿宋" w:eastAsia="仿宋" w:cs="仿宋"/>
          <w:sz w:val="24"/>
          <w:highlight w:val="none"/>
        </w:rPr>
        <w:t>须在中华人民共和国境内合法注册，具有独立法人资格和经营许可</w:t>
      </w:r>
      <w:r>
        <w:rPr>
          <w:rFonts w:hint="eastAsia" w:ascii="仿宋" w:hAnsi="仿宋" w:eastAsia="仿宋" w:cs="仿宋"/>
          <w:sz w:val="24"/>
          <w:highlight w:val="none"/>
          <w:lang w:eastAsia="zh-CN"/>
        </w:rPr>
        <w:t>，</w:t>
      </w:r>
      <w:r>
        <w:rPr>
          <w:rFonts w:hint="eastAsia" w:ascii="仿宋" w:hAnsi="仿宋" w:eastAsia="仿宋" w:cs="仿宋"/>
          <w:sz w:val="24"/>
          <w:highlight w:val="none"/>
        </w:rPr>
        <w:t>经营范围包含“数据处理服务”“技术开发”“软件开发”“软件销售”“信息系统集成服务”相关内容。</w:t>
      </w:r>
    </w:p>
    <w:p w14:paraId="4D61B3CC">
      <w:pPr>
        <w:numPr>
          <w:ilvl w:val="1"/>
          <w:numId w:val="2"/>
        </w:numPr>
        <w:shd w:val="clear"/>
        <w:spacing w:before="156" w:beforeLines="50"/>
        <w:ind w:left="0" w:firstLine="0"/>
        <w:rPr>
          <w:rFonts w:hint="eastAsia" w:ascii="仿宋" w:hAnsi="仿宋" w:eastAsia="仿宋" w:cs="仿宋"/>
          <w:sz w:val="24"/>
          <w:highlight w:val="none"/>
        </w:rPr>
      </w:pPr>
      <w:r>
        <w:rPr>
          <w:rFonts w:hint="eastAsia" w:ascii="仿宋" w:hAnsi="仿宋" w:eastAsia="仿宋" w:cs="仿宋"/>
          <w:sz w:val="24"/>
          <w:highlight w:val="none"/>
        </w:rPr>
        <w:t>具备三级及以上医院</w:t>
      </w:r>
      <w:r>
        <w:rPr>
          <w:rFonts w:hint="eastAsia" w:ascii="仿宋" w:hAnsi="仿宋" w:eastAsia="仿宋" w:cs="仿宋"/>
          <w:sz w:val="24"/>
          <w:highlight w:val="none"/>
          <w:lang w:eastAsia="zh-CN"/>
        </w:rPr>
        <w:t>医保智能审核和DRG精细化管理系统</w:t>
      </w:r>
      <w:r>
        <w:rPr>
          <w:rFonts w:hint="eastAsia" w:ascii="仿宋" w:hAnsi="仿宋" w:eastAsia="仿宋" w:cs="仿宋"/>
          <w:sz w:val="24"/>
          <w:highlight w:val="none"/>
        </w:rPr>
        <w:t>实施案例。</w:t>
      </w:r>
    </w:p>
    <w:p w14:paraId="52A68369">
      <w:pPr>
        <w:numPr>
          <w:ilvl w:val="1"/>
          <w:numId w:val="2"/>
        </w:numPr>
        <w:shd w:val="clear"/>
        <w:spacing w:before="156" w:beforeLines="50"/>
        <w:rPr>
          <w:rFonts w:hint="eastAsia" w:ascii="仿宋" w:hAnsi="仿宋" w:eastAsia="仿宋" w:cs="仿宋"/>
          <w:sz w:val="24"/>
          <w:highlight w:val="none"/>
        </w:rPr>
      </w:pPr>
      <w:r>
        <w:rPr>
          <w:rFonts w:hint="eastAsia" w:ascii="仿宋" w:hAnsi="仿宋" w:eastAsia="仿宋" w:cs="仿宋"/>
          <w:sz w:val="24"/>
          <w:highlight w:val="none"/>
        </w:rPr>
        <w:t>具备与医院HIS系统对接的实施能力，可提供技术证明或合作协议。</w:t>
      </w:r>
    </w:p>
    <w:p w14:paraId="32BEA083">
      <w:pPr>
        <w:numPr>
          <w:ilvl w:val="1"/>
          <w:numId w:val="2"/>
        </w:numPr>
        <w:shd w:val="clear"/>
        <w:spacing w:before="156" w:beforeLines="50"/>
        <w:rPr>
          <w:rFonts w:hint="eastAsia" w:ascii="仿宋" w:hAnsi="仿宋" w:eastAsia="仿宋" w:cs="仿宋"/>
          <w:sz w:val="24"/>
          <w:highlight w:val="none"/>
        </w:rPr>
      </w:pPr>
      <w:r>
        <w:rPr>
          <w:rFonts w:hint="eastAsia" w:ascii="仿宋" w:hAnsi="仿宋" w:eastAsia="仿宋" w:cs="仿宋"/>
          <w:sz w:val="24"/>
          <w:highlight w:val="none"/>
          <w:lang w:eastAsia="zh-CN"/>
        </w:rPr>
        <w:t>自投标截止之日起倒算36个月</w:t>
      </w:r>
      <w:r>
        <w:rPr>
          <w:rFonts w:hint="eastAsia" w:ascii="仿宋" w:hAnsi="仿宋" w:eastAsia="仿宋" w:cs="仿宋"/>
          <w:sz w:val="24"/>
          <w:highlight w:val="none"/>
        </w:rPr>
        <w:t>内，在经营活动中没有重大违法记录。</w:t>
      </w:r>
    </w:p>
    <w:p w14:paraId="7C98F10D">
      <w:pPr>
        <w:numPr>
          <w:ilvl w:val="1"/>
          <w:numId w:val="2"/>
        </w:numPr>
        <w:shd w:val="clear"/>
        <w:spacing w:before="156" w:beforeLines="50"/>
        <w:rPr>
          <w:rFonts w:hint="eastAsia" w:ascii="仿宋" w:hAnsi="仿宋" w:eastAsia="仿宋" w:cs="仿宋"/>
          <w:sz w:val="24"/>
          <w:highlight w:val="none"/>
        </w:rPr>
      </w:pPr>
      <w:r>
        <w:rPr>
          <w:rFonts w:hint="eastAsia" w:ascii="仿宋" w:hAnsi="仿宋" w:eastAsia="仿宋" w:cs="仿宋"/>
          <w:sz w:val="24"/>
          <w:highlight w:val="none"/>
        </w:rPr>
        <w:t>本项目不接受联合体响应，不允许分包、转包。</w:t>
      </w:r>
    </w:p>
    <w:p w14:paraId="2CA8EED4">
      <w:pPr>
        <w:numPr>
          <w:ilvl w:val="1"/>
          <w:numId w:val="2"/>
        </w:numPr>
        <w:shd w:val="clear"/>
        <w:spacing w:before="156" w:beforeLines="50"/>
        <w:rPr>
          <w:rFonts w:hint="eastAsia" w:ascii="仿宋" w:hAnsi="仿宋" w:eastAsia="仿宋" w:cs="仿宋"/>
          <w:sz w:val="24"/>
          <w:highlight w:val="none"/>
        </w:rPr>
      </w:pPr>
      <w:r>
        <w:rPr>
          <w:rFonts w:hint="eastAsia" w:ascii="仿宋" w:hAnsi="仿宋" w:eastAsia="仿宋" w:cs="仿宋"/>
          <w:sz w:val="24"/>
          <w:highlight w:val="none"/>
        </w:rPr>
        <w:t>法定代表人身份证明或附有法定代表人身份证明的授权委托书。</w:t>
      </w:r>
    </w:p>
    <w:p w14:paraId="0DFEB135">
      <w:pPr>
        <w:numPr>
          <w:ilvl w:val="1"/>
          <w:numId w:val="2"/>
        </w:numPr>
        <w:shd w:val="clear"/>
        <w:spacing w:before="156" w:beforeLines="50"/>
        <w:rPr>
          <w:rFonts w:hint="eastAsia" w:ascii="仿宋" w:hAnsi="仿宋" w:eastAsia="仿宋" w:cs="仿宋"/>
          <w:sz w:val="24"/>
          <w:highlight w:val="none"/>
        </w:rPr>
      </w:pPr>
      <w:r>
        <w:rPr>
          <w:rFonts w:hint="eastAsia" w:ascii="仿宋" w:hAnsi="仿宋" w:eastAsia="仿宋" w:cs="仿宋"/>
          <w:sz w:val="24"/>
          <w:highlight w:val="none"/>
        </w:rPr>
        <w:t>符合法律、法规规定的其他要求。</w:t>
      </w:r>
    </w:p>
    <w:p w14:paraId="4787C72F">
      <w:pPr>
        <w:pStyle w:val="3"/>
        <w:keepNext/>
        <w:keepLines/>
        <w:pageBreakBefore w:val="0"/>
        <w:widowControl w:val="0"/>
        <w:numPr>
          <w:ilvl w:val="0"/>
          <w:numId w:val="1"/>
        </w:numPr>
        <w:shd w:val="clear"/>
        <w:kinsoku/>
        <w:wordWrap/>
        <w:overflowPunct/>
        <w:topLinePunct w:val="0"/>
        <w:autoSpaceDE/>
        <w:autoSpaceDN/>
        <w:bidi w:val="0"/>
        <w:adjustRightInd/>
        <w:snapToGrid/>
        <w:spacing w:before="313" w:beforeLines="100" w:line="413" w:lineRule="auto"/>
        <w:ind w:left="425" w:hanging="425"/>
        <w:textAlignment w:val="auto"/>
        <w:rPr>
          <w:rFonts w:hint="eastAsia" w:ascii="仿宋" w:hAnsi="仿宋" w:eastAsia="仿宋" w:cs="仿宋"/>
          <w:sz w:val="24"/>
          <w:highlight w:val="none"/>
        </w:rPr>
      </w:pPr>
      <w:bookmarkStart w:id="22" w:name="_Toc25534"/>
      <w:bookmarkStart w:id="23" w:name="_Toc7414"/>
      <w:bookmarkStart w:id="24" w:name="_Toc25801"/>
      <w:bookmarkStart w:id="25" w:name="_Toc29654"/>
      <w:bookmarkStart w:id="26" w:name="_Toc29083"/>
      <w:bookmarkStart w:id="27" w:name="_Toc6035"/>
      <w:r>
        <w:rPr>
          <w:rFonts w:hint="eastAsia" w:ascii="仿宋" w:hAnsi="仿宋" w:eastAsia="仿宋" w:cs="仿宋"/>
          <w:sz w:val="24"/>
          <w:highlight w:val="none"/>
        </w:rPr>
        <w:t>递交投标文件截止时间和地点</w:t>
      </w:r>
      <w:bookmarkEnd w:id="22"/>
      <w:bookmarkEnd w:id="23"/>
      <w:bookmarkEnd w:id="24"/>
      <w:bookmarkEnd w:id="25"/>
      <w:bookmarkEnd w:id="26"/>
      <w:bookmarkEnd w:id="27"/>
    </w:p>
    <w:p w14:paraId="1D2E94EF">
      <w:pPr>
        <w:numPr>
          <w:ilvl w:val="1"/>
          <w:numId w:val="3"/>
        </w:numPr>
        <w:shd w:val="clear"/>
        <w:spacing w:before="156" w:beforeLines="50"/>
        <w:ind w:left="567" w:leftChars="0" w:hanging="567" w:firstLineChars="0"/>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时间：</w:t>
      </w:r>
      <w:r>
        <w:rPr>
          <w:rFonts w:hint="eastAsia" w:ascii="仿宋" w:hAnsi="仿宋" w:eastAsia="仿宋" w:cs="仿宋"/>
          <w:b/>
          <w:bCs/>
          <w:snapToGrid w:val="0"/>
          <w:color w:val="FF0000"/>
          <w:kern w:val="0"/>
          <w:sz w:val="24"/>
          <w:highlight w:val="none"/>
          <w:lang w:eastAsia="zh-CN"/>
        </w:rPr>
        <w:t>2026年</w:t>
      </w:r>
      <w:r>
        <w:rPr>
          <w:rFonts w:hint="eastAsia" w:ascii="仿宋" w:hAnsi="仿宋" w:eastAsia="仿宋" w:cs="仿宋"/>
          <w:b/>
          <w:bCs/>
          <w:snapToGrid w:val="0"/>
          <w:color w:val="FF0000"/>
          <w:kern w:val="0"/>
          <w:sz w:val="24"/>
          <w:highlight w:val="none"/>
          <w:lang w:val="en-US" w:eastAsia="zh-CN"/>
        </w:rPr>
        <w:t>7月16日8:20</w:t>
      </w:r>
      <w:r>
        <w:rPr>
          <w:rFonts w:hint="eastAsia" w:ascii="仿宋" w:hAnsi="仿宋" w:eastAsia="仿宋" w:cs="仿宋"/>
          <w:b/>
          <w:bCs/>
          <w:snapToGrid w:val="0"/>
          <w:color w:val="FF0000"/>
          <w:kern w:val="0"/>
          <w:sz w:val="24"/>
          <w:highlight w:val="none"/>
        </w:rPr>
        <w:t>（北京时间）</w:t>
      </w:r>
      <w:r>
        <w:rPr>
          <w:rFonts w:hint="eastAsia" w:ascii="仿宋" w:hAnsi="仿宋" w:eastAsia="仿宋" w:cs="仿宋"/>
          <w:snapToGrid w:val="0"/>
          <w:kern w:val="0"/>
          <w:sz w:val="24"/>
          <w:highlight w:val="none"/>
        </w:rPr>
        <w:t>，逾期收到或不符合规定的投标文件恕不接受。</w:t>
      </w:r>
    </w:p>
    <w:p w14:paraId="3F30E256">
      <w:pPr>
        <w:numPr>
          <w:ilvl w:val="1"/>
          <w:numId w:val="3"/>
        </w:numPr>
        <w:shd w:val="clear"/>
        <w:spacing w:before="156" w:beforeLines="50"/>
        <w:ind w:left="567" w:leftChars="0" w:hanging="567" w:firstLineChars="0"/>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rPr>
        <w:t>地点：成都市成华区杉板桥南一路219号5A网络信息中心</w:t>
      </w:r>
      <w:r>
        <w:rPr>
          <w:rFonts w:hint="eastAsia" w:ascii="仿宋" w:hAnsi="仿宋" w:eastAsia="仿宋" w:cs="仿宋"/>
          <w:snapToGrid w:val="0"/>
          <w:kern w:val="0"/>
          <w:sz w:val="24"/>
          <w:highlight w:val="none"/>
          <w:lang w:eastAsia="zh-CN"/>
        </w:rPr>
        <w:t>。</w:t>
      </w:r>
    </w:p>
    <w:p w14:paraId="2F72E688">
      <w:pPr>
        <w:pStyle w:val="3"/>
        <w:keepNext/>
        <w:keepLines/>
        <w:pageBreakBefore w:val="0"/>
        <w:widowControl w:val="0"/>
        <w:numPr>
          <w:ilvl w:val="0"/>
          <w:numId w:val="1"/>
        </w:numPr>
        <w:shd w:val="clear"/>
        <w:kinsoku/>
        <w:wordWrap/>
        <w:overflowPunct/>
        <w:topLinePunct w:val="0"/>
        <w:autoSpaceDE/>
        <w:autoSpaceDN/>
        <w:bidi w:val="0"/>
        <w:adjustRightInd/>
        <w:snapToGrid/>
        <w:spacing w:before="313" w:beforeLines="100" w:line="413" w:lineRule="auto"/>
        <w:ind w:left="425" w:hanging="425"/>
        <w:textAlignment w:val="auto"/>
        <w:rPr>
          <w:rFonts w:hint="eastAsia" w:ascii="仿宋" w:hAnsi="仿宋" w:eastAsia="仿宋" w:cs="仿宋"/>
          <w:sz w:val="24"/>
          <w:highlight w:val="none"/>
        </w:rPr>
      </w:pPr>
      <w:bookmarkStart w:id="28" w:name="_Toc10755"/>
      <w:bookmarkStart w:id="29" w:name="_Toc18501"/>
      <w:bookmarkStart w:id="30" w:name="_Toc12975"/>
      <w:bookmarkStart w:id="31" w:name="_Toc28255"/>
      <w:bookmarkStart w:id="32" w:name="_Toc22780"/>
      <w:bookmarkStart w:id="33" w:name="_Toc6621"/>
      <w:r>
        <w:rPr>
          <w:rFonts w:hint="eastAsia" w:ascii="仿宋" w:hAnsi="仿宋" w:eastAsia="仿宋" w:cs="仿宋"/>
          <w:sz w:val="24"/>
          <w:highlight w:val="none"/>
          <w:lang w:val="en-US" w:eastAsia="zh-CN"/>
        </w:rPr>
        <w:t>开标</w:t>
      </w:r>
      <w:r>
        <w:rPr>
          <w:rFonts w:hint="eastAsia" w:ascii="仿宋" w:hAnsi="仿宋" w:eastAsia="仿宋" w:cs="仿宋"/>
          <w:sz w:val="24"/>
          <w:highlight w:val="none"/>
        </w:rPr>
        <w:t>时间</w:t>
      </w:r>
      <w:r>
        <w:rPr>
          <w:rFonts w:hint="eastAsia" w:ascii="仿宋" w:hAnsi="仿宋" w:eastAsia="仿宋" w:cs="仿宋"/>
          <w:sz w:val="24"/>
          <w:highlight w:val="none"/>
          <w:lang w:val="en-US" w:eastAsia="zh-CN"/>
        </w:rPr>
        <w:t>及地点</w:t>
      </w:r>
      <w:bookmarkEnd w:id="28"/>
      <w:bookmarkEnd w:id="29"/>
      <w:bookmarkEnd w:id="30"/>
      <w:bookmarkEnd w:id="31"/>
      <w:bookmarkEnd w:id="32"/>
      <w:bookmarkEnd w:id="33"/>
    </w:p>
    <w:p w14:paraId="1D7B5777">
      <w:pPr>
        <w:numPr>
          <w:ilvl w:val="1"/>
          <w:numId w:val="4"/>
        </w:numPr>
        <w:shd w:val="clear"/>
        <w:spacing w:before="156" w:beforeLines="50"/>
        <w:ind w:left="567" w:leftChars="0" w:hanging="567" w:firstLineChars="0"/>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签到</w:t>
      </w:r>
      <w:r>
        <w:rPr>
          <w:rFonts w:hint="eastAsia" w:ascii="仿宋" w:hAnsi="仿宋" w:eastAsia="仿宋" w:cs="仿宋"/>
          <w:snapToGrid w:val="0"/>
          <w:kern w:val="0"/>
          <w:sz w:val="24"/>
          <w:highlight w:val="none"/>
          <w:lang w:val="en-US" w:eastAsia="zh-CN"/>
        </w:rPr>
        <w:t>截止</w:t>
      </w:r>
      <w:r>
        <w:rPr>
          <w:rFonts w:hint="eastAsia" w:ascii="仿宋" w:hAnsi="仿宋" w:eastAsia="仿宋" w:cs="仿宋"/>
          <w:snapToGrid w:val="0"/>
          <w:kern w:val="0"/>
          <w:sz w:val="24"/>
          <w:highlight w:val="none"/>
        </w:rPr>
        <w:t>时间</w:t>
      </w:r>
      <w:r>
        <w:rPr>
          <w:rFonts w:hint="eastAsia" w:ascii="仿宋" w:hAnsi="仿宋" w:eastAsia="仿宋" w:cs="仿宋"/>
          <w:snapToGrid w:val="0"/>
          <w:kern w:val="0"/>
          <w:sz w:val="24"/>
          <w:highlight w:val="none"/>
          <w:lang w:eastAsia="zh-CN"/>
        </w:rPr>
        <w:t>：</w:t>
      </w:r>
      <w:r>
        <w:rPr>
          <w:rFonts w:hint="eastAsia" w:ascii="仿宋" w:hAnsi="仿宋" w:eastAsia="仿宋" w:cs="仿宋"/>
          <w:b/>
          <w:bCs/>
          <w:snapToGrid w:val="0"/>
          <w:color w:val="FF0000"/>
          <w:kern w:val="0"/>
          <w:sz w:val="24"/>
          <w:highlight w:val="none"/>
          <w:lang w:eastAsia="zh-CN"/>
        </w:rPr>
        <w:t>2026年</w:t>
      </w:r>
      <w:r>
        <w:rPr>
          <w:rFonts w:hint="eastAsia" w:ascii="仿宋" w:hAnsi="仿宋" w:eastAsia="仿宋" w:cs="仿宋"/>
          <w:b/>
          <w:bCs/>
          <w:snapToGrid w:val="0"/>
          <w:color w:val="FF0000"/>
          <w:kern w:val="0"/>
          <w:sz w:val="24"/>
          <w:highlight w:val="none"/>
          <w:lang w:val="en-US" w:eastAsia="zh-CN"/>
        </w:rPr>
        <w:t>7月16日08</w:t>
      </w:r>
      <w:r>
        <w:rPr>
          <w:rFonts w:hint="eastAsia" w:ascii="仿宋" w:hAnsi="仿宋" w:eastAsia="仿宋" w:cs="仿宋"/>
          <w:b/>
          <w:bCs/>
          <w:snapToGrid w:val="0"/>
          <w:color w:val="FF0000"/>
          <w:kern w:val="0"/>
          <w:sz w:val="24"/>
          <w:highlight w:val="none"/>
        </w:rPr>
        <w:t>:</w:t>
      </w:r>
      <w:r>
        <w:rPr>
          <w:rFonts w:hint="eastAsia" w:ascii="仿宋" w:hAnsi="仿宋" w:eastAsia="仿宋" w:cs="仿宋"/>
          <w:b/>
          <w:bCs/>
          <w:snapToGrid w:val="0"/>
          <w:color w:val="FF0000"/>
          <w:kern w:val="0"/>
          <w:sz w:val="24"/>
          <w:highlight w:val="none"/>
          <w:lang w:val="en-US" w:eastAsia="zh-CN"/>
        </w:rPr>
        <w:t>25</w:t>
      </w:r>
      <w:r>
        <w:rPr>
          <w:rFonts w:hint="eastAsia" w:ascii="仿宋" w:hAnsi="仿宋" w:eastAsia="仿宋" w:cs="仿宋"/>
          <w:b/>
          <w:bCs/>
          <w:snapToGrid w:val="0"/>
          <w:color w:val="FF0000"/>
          <w:kern w:val="0"/>
          <w:sz w:val="24"/>
          <w:highlight w:val="none"/>
        </w:rPr>
        <w:t>（北京时间）</w:t>
      </w:r>
    </w:p>
    <w:p w14:paraId="2AFC26ED">
      <w:pPr>
        <w:numPr>
          <w:ilvl w:val="1"/>
          <w:numId w:val="4"/>
        </w:numPr>
        <w:shd w:val="clear"/>
        <w:spacing w:before="156" w:beforeLines="50"/>
        <w:ind w:left="567" w:leftChars="0" w:hanging="567" w:firstLineChars="0"/>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lang w:val="en-US" w:eastAsia="zh-CN"/>
        </w:rPr>
        <w:t>开标</w:t>
      </w:r>
      <w:r>
        <w:rPr>
          <w:rFonts w:hint="eastAsia" w:ascii="仿宋" w:hAnsi="仿宋" w:eastAsia="仿宋" w:cs="仿宋"/>
          <w:snapToGrid w:val="0"/>
          <w:kern w:val="0"/>
          <w:sz w:val="24"/>
          <w:highlight w:val="none"/>
        </w:rPr>
        <w:t>时间：</w:t>
      </w:r>
      <w:r>
        <w:rPr>
          <w:rFonts w:hint="eastAsia" w:ascii="仿宋" w:hAnsi="仿宋" w:eastAsia="仿宋" w:cs="仿宋"/>
          <w:b/>
          <w:bCs/>
          <w:snapToGrid w:val="0"/>
          <w:color w:val="FF0000"/>
          <w:kern w:val="0"/>
          <w:sz w:val="24"/>
          <w:highlight w:val="none"/>
          <w:lang w:eastAsia="zh-CN"/>
        </w:rPr>
        <w:t>2026年</w:t>
      </w:r>
      <w:r>
        <w:rPr>
          <w:rFonts w:hint="eastAsia" w:ascii="仿宋" w:hAnsi="仿宋" w:eastAsia="仿宋" w:cs="仿宋"/>
          <w:b/>
          <w:bCs/>
          <w:snapToGrid w:val="0"/>
          <w:color w:val="FF0000"/>
          <w:kern w:val="0"/>
          <w:sz w:val="24"/>
          <w:highlight w:val="none"/>
          <w:lang w:val="en-US" w:eastAsia="zh-CN"/>
        </w:rPr>
        <w:t>7月16日08</w:t>
      </w:r>
      <w:r>
        <w:rPr>
          <w:rFonts w:hint="eastAsia" w:ascii="仿宋" w:hAnsi="仿宋" w:eastAsia="仿宋" w:cs="仿宋"/>
          <w:b/>
          <w:bCs/>
          <w:snapToGrid w:val="0"/>
          <w:color w:val="FF0000"/>
          <w:kern w:val="0"/>
          <w:sz w:val="24"/>
          <w:highlight w:val="none"/>
          <w:lang w:eastAsia="zh-CN"/>
        </w:rPr>
        <w:t>:</w:t>
      </w:r>
      <w:r>
        <w:rPr>
          <w:rFonts w:hint="eastAsia" w:ascii="仿宋" w:hAnsi="仿宋" w:eastAsia="仿宋" w:cs="仿宋"/>
          <w:b/>
          <w:bCs/>
          <w:snapToGrid w:val="0"/>
          <w:color w:val="FF0000"/>
          <w:kern w:val="0"/>
          <w:sz w:val="24"/>
          <w:highlight w:val="none"/>
          <w:lang w:val="en-US" w:eastAsia="zh-CN"/>
        </w:rPr>
        <w:t>30</w:t>
      </w:r>
      <w:r>
        <w:rPr>
          <w:rFonts w:hint="eastAsia" w:ascii="仿宋" w:hAnsi="仿宋" w:eastAsia="仿宋" w:cs="仿宋"/>
          <w:b/>
          <w:bCs/>
          <w:snapToGrid w:val="0"/>
          <w:color w:val="FF0000"/>
          <w:kern w:val="0"/>
          <w:sz w:val="24"/>
          <w:highlight w:val="none"/>
          <w:lang w:eastAsia="zh-CN"/>
        </w:rPr>
        <w:t>（北京时间）</w:t>
      </w:r>
    </w:p>
    <w:p w14:paraId="2EBEAE7A">
      <w:pPr>
        <w:numPr>
          <w:ilvl w:val="1"/>
          <w:numId w:val="4"/>
        </w:numPr>
        <w:shd w:val="clear"/>
        <w:spacing w:before="156" w:beforeLines="50"/>
        <w:ind w:left="567" w:leftChars="0" w:hanging="567" w:firstLineChars="0"/>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投标人需在</w:t>
      </w:r>
      <w:r>
        <w:rPr>
          <w:rFonts w:hint="eastAsia" w:ascii="仿宋" w:hAnsi="仿宋" w:eastAsia="仿宋" w:cs="仿宋"/>
          <w:b/>
          <w:bCs/>
          <w:snapToGrid w:val="0"/>
          <w:color w:val="FF0000"/>
          <w:kern w:val="0"/>
          <w:sz w:val="24"/>
          <w:highlight w:val="none"/>
        </w:rPr>
        <w:t>2026年</w:t>
      </w:r>
      <w:r>
        <w:rPr>
          <w:rFonts w:hint="eastAsia" w:ascii="仿宋" w:hAnsi="仿宋" w:eastAsia="仿宋" w:cs="仿宋"/>
          <w:b/>
          <w:bCs/>
          <w:snapToGrid w:val="0"/>
          <w:color w:val="FF0000"/>
          <w:kern w:val="0"/>
          <w:sz w:val="24"/>
          <w:highlight w:val="none"/>
          <w:lang w:val="en-US" w:eastAsia="zh-CN"/>
        </w:rPr>
        <w:t>7月10日</w:t>
      </w:r>
      <w:r>
        <w:rPr>
          <w:rFonts w:hint="eastAsia" w:ascii="仿宋" w:hAnsi="仿宋" w:eastAsia="仿宋" w:cs="仿宋"/>
          <w:b/>
          <w:bCs/>
          <w:snapToGrid w:val="0"/>
          <w:color w:val="FF0000"/>
          <w:kern w:val="0"/>
          <w:sz w:val="24"/>
          <w:highlight w:val="none"/>
        </w:rPr>
        <w:t>将资质文件（第二章3.3项）及书面疑问（加盖公章PDF版+可编辑Word版）发送至指定邮箱：2456761499@qq.com（做资格预审及答疑准备）</w:t>
      </w:r>
      <w:r>
        <w:rPr>
          <w:rFonts w:hint="eastAsia" w:ascii="仿宋" w:hAnsi="仿宋" w:eastAsia="仿宋" w:cs="仿宋"/>
          <w:snapToGrid w:val="0"/>
          <w:kern w:val="0"/>
          <w:sz w:val="24"/>
          <w:highlight w:val="none"/>
        </w:rPr>
        <w:t>。</w:t>
      </w:r>
    </w:p>
    <w:p w14:paraId="1D9D6F69">
      <w:pPr>
        <w:numPr>
          <w:ilvl w:val="1"/>
          <w:numId w:val="4"/>
        </w:numPr>
        <w:shd w:val="clear"/>
        <w:spacing w:before="156" w:beforeLines="50"/>
        <w:ind w:left="567" w:leftChars="0" w:hanging="567" w:firstLineChars="0"/>
        <w:rPr>
          <w:rFonts w:hint="eastAsia" w:ascii="仿宋" w:hAnsi="仿宋" w:eastAsia="仿宋" w:cs="仿宋"/>
          <w:snapToGrid w:val="0"/>
          <w:kern w:val="0"/>
          <w:sz w:val="24"/>
          <w:highlight w:val="none"/>
          <w:lang w:eastAsia="zh-CN"/>
        </w:rPr>
      </w:pPr>
      <w:bookmarkStart w:id="34" w:name="OLE_LINK52"/>
      <w:r>
        <w:rPr>
          <w:rFonts w:hint="eastAsia" w:ascii="仿宋" w:hAnsi="仿宋" w:eastAsia="仿宋" w:cs="仿宋"/>
          <w:snapToGrid w:val="0"/>
          <w:kern w:val="0"/>
          <w:sz w:val="24"/>
          <w:highlight w:val="none"/>
          <w:lang w:val="en-US" w:eastAsia="zh-CN"/>
        </w:rPr>
        <w:t>开标地点：</w:t>
      </w:r>
      <w:r>
        <w:rPr>
          <w:rFonts w:hint="eastAsia" w:ascii="仿宋" w:hAnsi="仿宋" w:eastAsia="仿宋" w:cs="仿宋"/>
          <w:snapToGrid w:val="0"/>
          <w:kern w:val="0"/>
          <w:sz w:val="24"/>
          <w:highlight w:val="none"/>
          <w:lang w:eastAsia="zh-CN"/>
        </w:rPr>
        <w:t>成都三博东篱医院5A</w:t>
      </w:r>
      <w:r>
        <w:rPr>
          <w:rFonts w:hint="eastAsia" w:ascii="仿宋" w:hAnsi="仿宋" w:eastAsia="仿宋" w:cs="仿宋"/>
          <w:snapToGrid w:val="0"/>
          <w:kern w:val="0"/>
          <w:sz w:val="24"/>
          <w:highlight w:val="none"/>
          <w:lang w:val="en-US" w:eastAsia="zh-CN"/>
        </w:rPr>
        <w:t>大</w:t>
      </w:r>
      <w:r>
        <w:rPr>
          <w:rFonts w:hint="eastAsia" w:ascii="仿宋" w:hAnsi="仿宋" w:eastAsia="仿宋" w:cs="仿宋"/>
          <w:snapToGrid w:val="0"/>
          <w:kern w:val="0"/>
          <w:sz w:val="24"/>
          <w:highlight w:val="none"/>
          <w:lang w:eastAsia="zh-CN"/>
        </w:rPr>
        <w:t>会议室</w:t>
      </w:r>
    </w:p>
    <w:bookmarkEnd w:id="34"/>
    <w:p w14:paraId="1DBB182A">
      <w:pPr>
        <w:pStyle w:val="3"/>
        <w:keepNext/>
        <w:keepLines/>
        <w:pageBreakBefore w:val="0"/>
        <w:widowControl w:val="0"/>
        <w:numPr>
          <w:ilvl w:val="0"/>
          <w:numId w:val="1"/>
        </w:numPr>
        <w:shd w:val="clear"/>
        <w:kinsoku/>
        <w:wordWrap/>
        <w:overflowPunct/>
        <w:topLinePunct w:val="0"/>
        <w:autoSpaceDE/>
        <w:autoSpaceDN/>
        <w:bidi w:val="0"/>
        <w:adjustRightInd/>
        <w:snapToGrid/>
        <w:spacing w:before="313" w:beforeLines="100" w:line="413" w:lineRule="auto"/>
        <w:ind w:left="425" w:hanging="425"/>
        <w:textAlignment w:val="auto"/>
        <w:rPr>
          <w:rFonts w:hint="eastAsia" w:ascii="仿宋" w:hAnsi="仿宋" w:eastAsia="仿宋" w:cs="仿宋"/>
          <w:sz w:val="24"/>
          <w:highlight w:val="none"/>
        </w:rPr>
      </w:pPr>
      <w:bookmarkStart w:id="35" w:name="_Toc24309"/>
      <w:bookmarkStart w:id="36" w:name="_Toc7603"/>
      <w:bookmarkStart w:id="37" w:name="_Toc24434"/>
      <w:bookmarkStart w:id="38" w:name="_Toc29115"/>
      <w:bookmarkStart w:id="39" w:name="_Toc17708"/>
      <w:bookmarkStart w:id="40" w:name="_Toc16282"/>
      <w:r>
        <w:rPr>
          <w:rFonts w:hint="eastAsia" w:ascii="仿宋" w:hAnsi="仿宋" w:eastAsia="仿宋" w:cs="仿宋"/>
          <w:sz w:val="24"/>
          <w:highlight w:val="none"/>
        </w:rPr>
        <w:t>邀标人信息</w:t>
      </w:r>
      <w:bookmarkEnd w:id="35"/>
      <w:bookmarkEnd w:id="36"/>
      <w:bookmarkEnd w:id="37"/>
      <w:bookmarkEnd w:id="38"/>
      <w:bookmarkEnd w:id="39"/>
      <w:bookmarkEnd w:id="40"/>
    </w:p>
    <w:p w14:paraId="577E22E3">
      <w:pPr>
        <w:numPr>
          <w:ilvl w:val="1"/>
          <w:numId w:val="5"/>
        </w:numPr>
        <w:shd w:val="clear"/>
        <w:spacing w:before="156" w:beforeLines="50"/>
        <w:ind w:left="567" w:leftChars="0" w:hanging="567" w:firstLineChars="0"/>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lang w:eastAsia="zh-CN"/>
        </w:rPr>
        <w:t>招标人名称：成都三博东篱医院有限公司</w:t>
      </w:r>
    </w:p>
    <w:p w14:paraId="707131A3">
      <w:pPr>
        <w:numPr>
          <w:ilvl w:val="1"/>
          <w:numId w:val="5"/>
        </w:numPr>
        <w:shd w:val="clear"/>
        <w:spacing w:before="156" w:beforeLines="50"/>
        <w:ind w:left="567" w:leftChars="0" w:hanging="567" w:firstLineChars="0"/>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lang w:eastAsia="zh-CN"/>
        </w:rPr>
        <w:t>招标人地址：成都市成华区杉板桥南一路219号</w:t>
      </w:r>
    </w:p>
    <w:p w14:paraId="6D7277ED">
      <w:pPr>
        <w:numPr>
          <w:ilvl w:val="1"/>
          <w:numId w:val="5"/>
        </w:numPr>
        <w:shd w:val="clear"/>
        <w:spacing w:before="156" w:beforeLines="50"/>
        <w:ind w:left="567" w:leftChars="0" w:hanging="567" w:firstLineChars="0"/>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lang w:eastAsia="zh-CN"/>
        </w:rPr>
        <w:t>联系人：</w:t>
      </w:r>
      <w:r>
        <w:rPr>
          <w:rFonts w:hint="eastAsia" w:ascii="仿宋" w:hAnsi="仿宋" w:eastAsia="仿宋" w:cs="仿宋"/>
          <w:snapToGrid w:val="0"/>
          <w:kern w:val="0"/>
          <w:sz w:val="24"/>
          <w:highlight w:val="none"/>
          <w:lang w:val="en-US" w:eastAsia="zh-CN"/>
        </w:rPr>
        <w:t>范昱瑶</w:t>
      </w:r>
    </w:p>
    <w:p w14:paraId="58FBF816">
      <w:pPr>
        <w:numPr>
          <w:ilvl w:val="1"/>
          <w:numId w:val="5"/>
        </w:numPr>
        <w:shd w:val="clear"/>
        <w:spacing w:before="156" w:beforeLines="50"/>
        <w:ind w:left="567" w:leftChars="0" w:hanging="567" w:firstLineChars="0"/>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lang w:eastAsia="zh-CN"/>
        </w:rPr>
        <w:t>联系电话：</w:t>
      </w:r>
      <w:r>
        <w:rPr>
          <w:rFonts w:hint="eastAsia" w:ascii="仿宋" w:hAnsi="仿宋" w:eastAsia="仿宋" w:cs="仿宋"/>
          <w:snapToGrid w:val="0"/>
          <w:kern w:val="0"/>
          <w:sz w:val="24"/>
          <w:highlight w:val="none"/>
          <w:lang w:val="en-US" w:eastAsia="zh-CN"/>
        </w:rPr>
        <w:t>028-68791616</w:t>
      </w:r>
    </w:p>
    <w:p w14:paraId="13E2B909">
      <w:pPr>
        <w:numPr>
          <w:ilvl w:val="1"/>
          <w:numId w:val="5"/>
        </w:numPr>
        <w:shd w:val="clear"/>
        <w:spacing w:before="156" w:beforeLines="50"/>
        <w:ind w:left="567" w:leftChars="0" w:hanging="567" w:firstLineChars="0"/>
        <w:rPr>
          <w:rFonts w:hint="eastAsia" w:ascii="仿宋" w:hAnsi="仿宋" w:eastAsia="仿宋" w:cs="仿宋"/>
          <w:sz w:val="24"/>
          <w:highlight w:val="none"/>
        </w:rPr>
      </w:pPr>
      <w:r>
        <w:rPr>
          <w:rFonts w:hint="eastAsia" w:ascii="仿宋" w:hAnsi="仿宋" w:eastAsia="仿宋" w:cs="仿宋"/>
          <w:snapToGrid w:val="0"/>
          <w:kern w:val="0"/>
          <w:sz w:val="24"/>
          <w:highlight w:val="none"/>
          <w:lang w:eastAsia="zh-CN"/>
        </w:rPr>
        <w:t>邮</w:t>
      </w:r>
      <w:r>
        <w:rPr>
          <w:rFonts w:hint="eastAsia" w:ascii="仿宋" w:hAnsi="仿宋" w:eastAsia="仿宋" w:cs="仿宋"/>
          <w:snapToGrid w:val="0"/>
          <w:kern w:val="0"/>
          <w:sz w:val="24"/>
          <w:highlight w:val="none"/>
          <w:u w:val="none"/>
          <w:lang w:eastAsia="zh-CN"/>
        </w:rPr>
        <w:t>箱：</w:t>
      </w:r>
      <w:r>
        <w:rPr>
          <w:rStyle w:val="24"/>
          <w:rFonts w:hint="eastAsia" w:ascii="仿宋" w:hAnsi="仿宋" w:eastAsia="仿宋" w:cs="仿宋"/>
          <w:snapToGrid w:val="0"/>
          <w:color w:val="auto"/>
          <w:kern w:val="0"/>
          <w:sz w:val="24"/>
          <w:highlight w:val="none"/>
          <w:u w:val="none"/>
          <w:lang w:val="en-US" w:eastAsia="zh-CN"/>
        </w:rPr>
        <w:t>2456761499@qq.com</w:t>
      </w:r>
    </w:p>
    <w:p w14:paraId="34FAD30B">
      <w:pPr>
        <w:pStyle w:val="3"/>
        <w:keepNext/>
        <w:keepLines/>
        <w:pageBreakBefore w:val="0"/>
        <w:widowControl w:val="0"/>
        <w:numPr>
          <w:ilvl w:val="0"/>
          <w:numId w:val="1"/>
        </w:numPr>
        <w:shd w:val="clear"/>
        <w:kinsoku/>
        <w:wordWrap/>
        <w:overflowPunct/>
        <w:topLinePunct w:val="0"/>
        <w:autoSpaceDE/>
        <w:autoSpaceDN/>
        <w:bidi w:val="0"/>
        <w:adjustRightInd/>
        <w:snapToGrid/>
        <w:spacing w:before="313" w:beforeLines="100" w:line="413" w:lineRule="auto"/>
        <w:ind w:left="425" w:hanging="425"/>
        <w:textAlignment w:val="auto"/>
        <w:rPr>
          <w:rFonts w:hint="eastAsia" w:ascii="仿宋" w:hAnsi="仿宋" w:eastAsia="仿宋" w:cs="仿宋"/>
          <w:color w:val="auto"/>
          <w:sz w:val="24"/>
          <w:highlight w:val="none"/>
          <w:u w:val="none"/>
        </w:rPr>
      </w:pPr>
      <w:bookmarkStart w:id="41" w:name="_Toc30548"/>
      <w:bookmarkStart w:id="42" w:name="_Toc17393"/>
      <w:bookmarkStart w:id="43" w:name="_Toc32688"/>
      <w:bookmarkStart w:id="44" w:name="_Toc28733"/>
      <w:bookmarkStart w:id="45" w:name="_Toc29543"/>
      <w:r>
        <w:rPr>
          <w:rFonts w:hint="eastAsia" w:ascii="仿宋" w:hAnsi="仿宋" w:eastAsia="仿宋" w:cs="仿宋"/>
          <w:color w:val="auto"/>
          <w:sz w:val="24"/>
          <w:highlight w:val="none"/>
          <w:u w:val="none"/>
        </w:rPr>
        <w:t>标书答疑</w:t>
      </w:r>
      <w:bookmarkEnd w:id="41"/>
      <w:bookmarkEnd w:id="42"/>
      <w:bookmarkEnd w:id="43"/>
      <w:bookmarkEnd w:id="44"/>
      <w:bookmarkEnd w:id="45"/>
    </w:p>
    <w:p w14:paraId="38B9F4EA">
      <w:pPr>
        <w:numPr>
          <w:ilvl w:val="1"/>
          <w:numId w:val="6"/>
        </w:numPr>
        <w:shd w:val="clear"/>
        <w:spacing w:before="156" w:beforeLines="50"/>
        <w:ind w:left="567" w:leftChars="0" w:hanging="567" w:firstLineChars="0"/>
        <w:rPr>
          <w:rFonts w:hint="eastAsia" w:ascii="仿宋" w:hAnsi="仿宋" w:eastAsia="仿宋" w:cs="仿宋"/>
          <w:snapToGrid w:val="0"/>
          <w:color w:val="auto"/>
          <w:kern w:val="0"/>
          <w:sz w:val="24"/>
          <w:highlight w:val="none"/>
          <w:u w:val="none"/>
          <w:lang w:eastAsia="zh-CN"/>
        </w:rPr>
      </w:pPr>
      <w:r>
        <w:rPr>
          <w:rFonts w:hint="eastAsia" w:ascii="仿宋" w:hAnsi="仿宋" w:eastAsia="仿宋" w:cs="仿宋"/>
          <w:snapToGrid w:val="0"/>
          <w:color w:val="auto"/>
          <w:kern w:val="0"/>
          <w:sz w:val="24"/>
          <w:highlight w:val="none"/>
          <w:u w:val="none"/>
          <w:lang w:eastAsia="zh-CN"/>
        </w:rPr>
        <w:t>答疑时间：预计于发布标书3个工作日后，开标前至少3个工作日举行线上标书答疑会</w:t>
      </w:r>
      <w:r>
        <w:rPr>
          <w:rFonts w:hint="eastAsia" w:ascii="仿宋" w:hAnsi="仿宋" w:eastAsia="仿宋" w:cs="仿宋"/>
          <w:b/>
          <w:bCs/>
          <w:snapToGrid w:val="0"/>
          <w:color w:val="FF0000"/>
          <w:kern w:val="0"/>
          <w:sz w:val="24"/>
          <w:highlight w:val="none"/>
          <w:u w:val="none"/>
          <w:lang w:eastAsia="zh-CN"/>
        </w:rPr>
        <w:t>（</w:t>
      </w:r>
      <w:r>
        <w:rPr>
          <w:rFonts w:hint="eastAsia" w:ascii="仿宋" w:hAnsi="仿宋" w:eastAsia="仿宋" w:cs="仿宋"/>
          <w:b/>
          <w:bCs/>
          <w:snapToGrid w:val="0"/>
          <w:color w:val="FF0000"/>
          <w:kern w:val="0"/>
          <w:sz w:val="24"/>
          <w:highlight w:val="none"/>
          <w:u w:val="none"/>
          <w:lang w:val="en-US" w:eastAsia="zh-CN"/>
        </w:rPr>
        <w:t>预计7月13日</w:t>
      </w:r>
      <w:r>
        <w:rPr>
          <w:rFonts w:hint="eastAsia" w:ascii="仿宋" w:hAnsi="仿宋" w:eastAsia="仿宋" w:cs="仿宋"/>
          <w:b/>
          <w:bCs/>
          <w:snapToGrid w:val="0"/>
          <w:color w:val="FF0000"/>
          <w:kern w:val="0"/>
          <w:sz w:val="24"/>
          <w:highlight w:val="none"/>
          <w:u w:val="none"/>
          <w:lang w:eastAsia="zh-CN"/>
        </w:rPr>
        <w:t>）</w:t>
      </w:r>
      <w:r>
        <w:rPr>
          <w:rFonts w:hint="eastAsia" w:ascii="仿宋" w:hAnsi="仿宋" w:eastAsia="仿宋" w:cs="仿宋"/>
          <w:snapToGrid w:val="0"/>
          <w:color w:val="auto"/>
          <w:kern w:val="0"/>
          <w:sz w:val="24"/>
          <w:highlight w:val="none"/>
          <w:u w:val="none"/>
          <w:lang w:eastAsia="zh-CN"/>
        </w:rPr>
        <w:t>。</w:t>
      </w:r>
    </w:p>
    <w:p w14:paraId="65CC92FD">
      <w:pPr>
        <w:numPr>
          <w:ilvl w:val="1"/>
          <w:numId w:val="6"/>
        </w:numPr>
        <w:shd w:val="clear"/>
        <w:spacing w:before="156" w:beforeLines="50"/>
        <w:ind w:left="567" w:leftChars="0" w:hanging="567" w:firstLineChars="0"/>
        <w:rPr>
          <w:rFonts w:hint="eastAsia" w:ascii="仿宋" w:hAnsi="仿宋" w:eastAsia="仿宋" w:cs="仿宋"/>
          <w:snapToGrid w:val="0"/>
          <w:color w:val="auto"/>
          <w:kern w:val="0"/>
          <w:sz w:val="24"/>
          <w:highlight w:val="none"/>
          <w:u w:val="none"/>
          <w:lang w:eastAsia="zh-CN"/>
        </w:rPr>
      </w:pPr>
      <w:r>
        <w:rPr>
          <w:rFonts w:hint="eastAsia" w:ascii="仿宋" w:hAnsi="仿宋" w:eastAsia="仿宋" w:cs="仿宋"/>
          <w:snapToGrid w:val="0"/>
          <w:color w:val="auto"/>
          <w:kern w:val="0"/>
          <w:sz w:val="24"/>
          <w:highlight w:val="none"/>
          <w:u w:val="none"/>
          <w:lang w:eastAsia="zh-CN"/>
        </w:rPr>
        <w:t>答疑形式：钉钉会议（会议号将通过邮件单独发送至已提交资质文件及疑问的投标人）。</w:t>
      </w:r>
    </w:p>
    <w:p w14:paraId="270746A7">
      <w:pPr>
        <w:numPr>
          <w:ilvl w:val="1"/>
          <w:numId w:val="6"/>
        </w:numPr>
        <w:shd w:val="clear"/>
        <w:spacing w:before="156" w:beforeLines="50"/>
        <w:ind w:left="567" w:leftChars="0" w:hanging="567" w:firstLineChars="0"/>
        <w:rPr>
          <w:rFonts w:hint="eastAsia" w:ascii="仿宋" w:hAnsi="仿宋" w:eastAsia="仿宋" w:cs="仿宋"/>
          <w:snapToGrid w:val="0"/>
          <w:color w:val="auto"/>
          <w:kern w:val="0"/>
          <w:sz w:val="24"/>
          <w:highlight w:val="none"/>
          <w:u w:val="none"/>
          <w:lang w:eastAsia="zh-CN"/>
        </w:rPr>
      </w:pPr>
      <w:r>
        <w:rPr>
          <w:rFonts w:hint="eastAsia" w:ascii="仿宋" w:hAnsi="仿宋" w:eastAsia="仿宋" w:cs="仿宋"/>
          <w:snapToGrid w:val="0"/>
          <w:color w:val="auto"/>
          <w:kern w:val="0"/>
          <w:sz w:val="24"/>
          <w:highlight w:val="none"/>
          <w:u w:val="none"/>
          <w:lang w:eastAsia="zh-CN"/>
        </w:rPr>
        <w:t>参会要求：投标人需凭邮件收到的会议号参会，未按时提交资质文件及疑问的单位将无法获取会议号，视为放弃答疑权利。（</w:t>
      </w:r>
      <w:r>
        <w:rPr>
          <w:rFonts w:hint="eastAsia" w:ascii="仿宋" w:hAnsi="仿宋" w:eastAsia="仿宋" w:cs="仿宋"/>
          <w:b/>
          <w:bCs/>
          <w:snapToGrid w:val="0"/>
          <w:color w:val="auto"/>
          <w:kern w:val="0"/>
          <w:sz w:val="24"/>
          <w:highlight w:val="none"/>
          <w:u w:val="none"/>
          <w:lang w:val="en-US" w:eastAsia="zh-CN"/>
        </w:rPr>
        <w:t>入会名称为：公司全称+姓名</w:t>
      </w:r>
      <w:r>
        <w:rPr>
          <w:rFonts w:hint="eastAsia" w:ascii="仿宋" w:hAnsi="仿宋" w:eastAsia="仿宋" w:cs="仿宋"/>
          <w:b/>
          <w:bCs/>
          <w:snapToGrid w:val="0"/>
          <w:color w:val="auto"/>
          <w:kern w:val="0"/>
          <w:sz w:val="24"/>
          <w:highlight w:val="none"/>
          <w:u w:val="none"/>
          <w:lang w:eastAsia="zh-CN"/>
        </w:rPr>
        <w:t>）</w:t>
      </w:r>
    </w:p>
    <w:p w14:paraId="3194AC23">
      <w:pPr>
        <w:numPr>
          <w:ilvl w:val="1"/>
          <w:numId w:val="6"/>
        </w:numPr>
        <w:shd w:val="clear"/>
        <w:spacing w:before="156" w:beforeLines="50"/>
        <w:ind w:left="567" w:leftChars="0" w:hanging="567" w:firstLineChars="0"/>
        <w:rPr>
          <w:rFonts w:hint="eastAsia" w:ascii="仿宋" w:hAnsi="仿宋" w:eastAsia="仿宋" w:cs="仿宋"/>
          <w:snapToGrid w:val="0"/>
          <w:color w:val="auto"/>
          <w:kern w:val="0"/>
          <w:sz w:val="24"/>
          <w:highlight w:val="none"/>
          <w:u w:val="none"/>
          <w:lang w:eastAsia="zh-CN"/>
        </w:rPr>
      </w:pPr>
      <w:r>
        <w:rPr>
          <w:rFonts w:hint="eastAsia" w:ascii="仿宋" w:hAnsi="仿宋" w:eastAsia="仿宋" w:cs="仿宋"/>
          <w:snapToGrid w:val="0"/>
          <w:color w:val="auto"/>
          <w:kern w:val="0"/>
          <w:sz w:val="24"/>
          <w:highlight w:val="none"/>
          <w:u w:val="none"/>
          <w:lang w:eastAsia="zh-CN"/>
        </w:rPr>
        <w:t>答疑文件：答疑会结束后</w:t>
      </w:r>
      <w:r>
        <w:rPr>
          <w:rFonts w:hint="eastAsia" w:ascii="仿宋" w:hAnsi="仿宋" w:eastAsia="仿宋" w:cs="仿宋"/>
          <w:snapToGrid w:val="0"/>
          <w:color w:val="auto"/>
          <w:kern w:val="0"/>
          <w:sz w:val="24"/>
          <w:highlight w:val="none"/>
          <w:u w:val="none"/>
          <w:lang w:val="en-US" w:eastAsia="zh-CN"/>
        </w:rPr>
        <w:t>2</w:t>
      </w:r>
      <w:r>
        <w:rPr>
          <w:rFonts w:hint="eastAsia" w:ascii="仿宋" w:hAnsi="仿宋" w:eastAsia="仿宋" w:cs="仿宋"/>
          <w:snapToGrid w:val="0"/>
          <w:color w:val="auto"/>
          <w:kern w:val="0"/>
          <w:sz w:val="24"/>
          <w:highlight w:val="none"/>
          <w:u w:val="none"/>
          <w:lang w:eastAsia="zh-CN"/>
        </w:rPr>
        <w:t>个工作日内，招标人将发布《招标文件澄清答疑函》，作为招标文件的组成部分，与招标文件具有同等法律效力。</w:t>
      </w:r>
    </w:p>
    <w:p w14:paraId="4A8E105D">
      <w:pPr>
        <w:numPr>
          <w:ilvl w:val="1"/>
          <w:numId w:val="6"/>
        </w:numPr>
        <w:shd w:val="clear"/>
        <w:spacing w:before="156" w:beforeLines="50"/>
        <w:ind w:left="567" w:leftChars="0" w:hanging="567" w:firstLineChars="0"/>
        <w:rPr>
          <w:rFonts w:hint="eastAsia" w:ascii="仿宋" w:hAnsi="仿宋" w:eastAsia="仿宋" w:cs="仿宋"/>
          <w:sz w:val="24"/>
          <w:highlight w:val="none"/>
        </w:rPr>
      </w:pPr>
      <w:r>
        <w:rPr>
          <w:rFonts w:hint="eastAsia" w:ascii="仿宋" w:hAnsi="仿宋" w:eastAsia="仿宋" w:cs="仿宋"/>
          <w:color w:val="auto"/>
          <w:sz w:val="24"/>
          <w:highlight w:val="none"/>
          <w:u w:val="none"/>
        </w:rPr>
        <w:br w:type="page"/>
      </w:r>
    </w:p>
    <w:p w14:paraId="19949B38">
      <w:pPr>
        <w:pStyle w:val="2"/>
        <w:shd w:val="clear"/>
        <w:jc w:val="center"/>
        <w:rPr>
          <w:rFonts w:hint="eastAsia" w:ascii="仿宋" w:hAnsi="仿宋" w:eastAsia="仿宋" w:cs="仿宋"/>
          <w:sz w:val="24"/>
          <w:highlight w:val="none"/>
        </w:rPr>
      </w:pPr>
      <w:bookmarkStart w:id="46" w:name="_Toc24396"/>
      <w:bookmarkStart w:id="47" w:name="_Toc3129"/>
      <w:bookmarkStart w:id="48" w:name="_Toc18799"/>
      <w:bookmarkStart w:id="49" w:name="_Toc28511"/>
      <w:bookmarkStart w:id="50" w:name="_Toc97561928"/>
      <w:bookmarkStart w:id="51" w:name="_Toc4915"/>
      <w:bookmarkStart w:id="52" w:name="_Toc469850050"/>
      <w:bookmarkStart w:id="53" w:name="_Toc89586891"/>
      <w:bookmarkStart w:id="54" w:name="_Toc91399391"/>
      <w:bookmarkStart w:id="55" w:name="_Toc17956"/>
      <w:bookmarkStart w:id="56" w:name="_Toc164330945"/>
      <w:bookmarkStart w:id="57" w:name="_Toc97561962"/>
      <w:bookmarkStart w:id="58" w:name="_Toc89586926"/>
      <w:bookmarkStart w:id="59" w:name="_Toc91399425"/>
      <w:bookmarkStart w:id="60" w:name="_Toc89058565"/>
      <w:r>
        <w:rPr>
          <w:rFonts w:hint="eastAsia" w:ascii="仿宋" w:hAnsi="仿宋" w:eastAsia="仿宋" w:cs="仿宋"/>
          <w:sz w:val="24"/>
          <w:highlight w:val="none"/>
        </w:rPr>
        <w:t>第二章投标文件的编制</w:t>
      </w:r>
      <w:bookmarkEnd w:id="46"/>
      <w:bookmarkEnd w:id="47"/>
      <w:bookmarkEnd w:id="48"/>
      <w:bookmarkEnd w:id="49"/>
      <w:bookmarkEnd w:id="50"/>
      <w:bookmarkEnd w:id="51"/>
      <w:bookmarkEnd w:id="52"/>
      <w:bookmarkEnd w:id="53"/>
      <w:bookmarkEnd w:id="54"/>
      <w:bookmarkEnd w:id="55"/>
      <w:bookmarkEnd w:id="56"/>
    </w:p>
    <w:p w14:paraId="666B2930">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61" w:name="_Toc12246"/>
      <w:bookmarkStart w:id="62" w:name="_Toc97561929"/>
      <w:bookmarkStart w:id="63" w:name="_Toc164330946"/>
      <w:bookmarkStart w:id="64" w:name="_Toc9597"/>
      <w:bookmarkStart w:id="65" w:name="_Toc27909"/>
      <w:bookmarkStart w:id="66" w:name="_Toc27592"/>
      <w:bookmarkStart w:id="67" w:name="_Toc7675"/>
      <w:bookmarkStart w:id="68" w:name="_Toc89586892"/>
      <w:bookmarkStart w:id="69" w:name="_Toc7753"/>
      <w:bookmarkStart w:id="70" w:name="_Toc91399392"/>
      <w:bookmarkStart w:id="71" w:name="_Toc469850051"/>
      <w:r>
        <w:rPr>
          <w:rFonts w:hint="eastAsia" w:ascii="仿宋" w:hAnsi="仿宋" w:eastAsia="仿宋" w:cs="仿宋"/>
          <w:b/>
          <w:kern w:val="0"/>
          <w:sz w:val="24"/>
          <w:highlight w:val="none"/>
        </w:rPr>
        <w:t>投标文件编制的原则</w:t>
      </w:r>
      <w:bookmarkEnd w:id="61"/>
      <w:bookmarkEnd w:id="62"/>
      <w:bookmarkEnd w:id="63"/>
      <w:bookmarkEnd w:id="64"/>
      <w:bookmarkEnd w:id="65"/>
      <w:bookmarkEnd w:id="66"/>
      <w:bookmarkEnd w:id="67"/>
      <w:bookmarkEnd w:id="68"/>
      <w:bookmarkEnd w:id="69"/>
      <w:bookmarkEnd w:id="70"/>
    </w:p>
    <w:p w14:paraId="4758CBAF">
      <w:pPr>
        <w:shd w:val="clear"/>
        <w:tabs>
          <w:tab w:val="left" w:pos="640"/>
        </w:tabs>
        <w:spacing w:line="360" w:lineRule="auto"/>
        <w:ind w:left="437" w:hanging="436" w:hangingChars="182"/>
        <w:rPr>
          <w:rFonts w:hint="eastAsia" w:ascii="仿宋" w:hAnsi="仿宋" w:eastAsia="仿宋" w:cs="仿宋"/>
          <w:sz w:val="24"/>
          <w:highlight w:val="none"/>
        </w:rPr>
      </w:pPr>
      <w:r>
        <w:rPr>
          <w:rFonts w:hint="eastAsia" w:ascii="仿宋" w:hAnsi="仿宋" w:eastAsia="仿宋" w:cs="仿宋"/>
          <w:sz w:val="24"/>
          <w:highlight w:val="none"/>
        </w:rPr>
        <w:t>1.1投标人应在认真阅读邀标文件所有内容的基础上，按照邀标文件的要求编制完整的投标文件。邀标文件中对投标文件格式有要求的，投标人必须全部填写格式中要求的所有内容。</w:t>
      </w:r>
    </w:p>
    <w:p w14:paraId="7B821B53">
      <w:pPr>
        <w:shd w:val="clear"/>
        <w:tabs>
          <w:tab w:val="left" w:pos="525"/>
        </w:tabs>
        <w:spacing w:line="360" w:lineRule="auto"/>
        <w:ind w:left="420" w:hanging="420" w:hangingChars="175"/>
        <w:rPr>
          <w:rFonts w:hint="eastAsia" w:ascii="仿宋" w:hAnsi="仿宋" w:eastAsia="仿宋" w:cs="仿宋"/>
          <w:color w:val="000000"/>
          <w:sz w:val="24"/>
          <w:highlight w:val="none"/>
        </w:rPr>
      </w:pPr>
      <w:r>
        <w:rPr>
          <w:rFonts w:hint="eastAsia" w:ascii="仿宋" w:hAnsi="仿宋" w:eastAsia="仿宋" w:cs="仿宋"/>
          <w:color w:val="000000"/>
          <w:sz w:val="24"/>
          <w:highlight w:val="none"/>
        </w:rPr>
        <w:t>1.2</w:t>
      </w:r>
      <w:r>
        <w:rPr>
          <w:rFonts w:hint="eastAsia" w:ascii="仿宋" w:hAnsi="仿宋" w:eastAsia="仿宋" w:cs="仿宋"/>
          <w:sz w:val="24"/>
          <w:highlight w:val="none"/>
        </w:rPr>
        <w:t>投标文件所提供的全部信息和资料是真实的和正确的</w:t>
      </w:r>
      <w:r>
        <w:rPr>
          <w:rFonts w:hint="eastAsia" w:ascii="仿宋" w:hAnsi="仿宋" w:eastAsia="仿宋" w:cs="仿宋"/>
          <w:color w:val="000000"/>
          <w:sz w:val="24"/>
          <w:highlight w:val="none"/>
        </w:rPr>
        <w:t>，并接受对其中任何资料进一步审查的要求。投标人提交的资料密</w:t>
      </w:r>
      <w:r>
        <w:rPr>
          <w:rFonts w:hint="eastAsia" w:ascii="仿宋" w:hAnsi="仿宋" w:eastAsia="仿宋" w:cs="仿宋"/>
          <w:sz w:val="24"/>
          <w:highlight w:val="none"/>
        </w:rPr>
        <w:t>封加盖公章（或投标专用章）投标</w:t>
      </w:r>
      <w:r>
        <w:rPr>
          <w:rFonts w:hint="eastAsia" w:ascii="仿宋" w:hAnsi="仿宋" w:eastAsia="仿宋" w:cs="仿宋"/>
          <w:color w:val="000000"/>
          <w:sz w:val="24"/>
          <w:highlight w:val="none"/>
        </w:rPr>
        <w:t>。</w:t>
      </w:r>
    </w:p>
    <w:p w14:paraId="486A4F4C">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color w:val="000000"/>
          <w:kern w:val="0"/>
          <w:sz w:val="24"/>
          <w:highlight w:val="none"/>
        </w:rPr>
      </w:pPr>
      <w:bookmarkStart w:id="72" w:name="_Toc25389"/>
      <w:bookmarkStart w:id="73" w:name="_Toc22952"/>
      <w:bookmarkStart w:id="74" w:name="_Toc30725"/>
      <w:bookmarkStart w:id="75" w:name="_Toc14212"/>
      <w:bookmarkStart w:id="76" w:name="_Toc97561930"/>
      <w:bookmarkStart w:id="77" w:name="_Toc10761"/>
      <w:bookmarkStart w:id="78" w:name="_Toc89586893"/>
      <w:bookmarkStart w:id="79" w:name="_Toc164330947"/>
      <w:bookmarkStart w:id="80" w:name="_Toc22519"/>
      <w:bookmarkStart w:id="81" w:name="_Toc91399393"/>
      <w:r>
        <w:rPr>
          <w:rFonts w:hint="eastAsia" w:ascii="仿宋" w:hAnsi="仿宋" w:eastAsia="仿宋" w:cs="仿宋"/>
          <w:b/>
          <w:color w:val="000000"/>
          <w:kern w:val="0"/>
          <w:sz w:val="24"/>
          <w:highlight w:val="none"/>
        </w:rPr>
        <w:t>投标的语言</w:t>
      </w:r>
      <w:bookmarkEnd w:id="71"/>
      <w:r>
        <w:rPr>
          <w:rFonts w:hint="eastAsia" w:ascii="仿宋" w:hAnsi="仿宋" w:eastAsia="仿宋" w:cs="仿宋"/>
          <w:b/>
          <w:color w:val="000000"/>
          <w:kern w:val="0"/>
          <w:sz w:val="24"/>
          <w:highlight w:val="none"/>
        </w:rPr>
        <w:t>和计量单位</w:t>
      </w:r>
      <w:bookmarkEnd w:id="72"/>
      <w:bookmarkEnd w:id="73"/>
      <w:bookmarkEnd w:id="74"/>
      <w:bookmarkEnd w:id="75"/>
      <w:bookmarkEnd w:id="76"/>
      <w:bookmarkEnd w:id="77"/>
      <w:bookmarkEnd w:id="78"/>
      <w:bookmarkEnd w:id="79"/>
      <w:bookmarkEnd w:id="80"/>
      <w:bookmarkEnd w:id="81"/>
    </w:p>
    <w:p w14:paraId="35F21509">
      <w:pPr>
        <w:shd w:val="clear"/>
        <w:tabs>
          <w:tab w:val="left" w:pos="525"/>
        </w:tabs>
        <w:spacing w:line="360" w:lineRule="auto"/>
        <w:ind w:left="420" w:hanging="420" w:hangingChars="175"/>
        <w:rPr>
          <w:rFonts w:hint="eastAsia" w:ascii="仿宋" w:hAnsi="仿宋" w:eastAsia="仿宋" w:cs="仿宋"/>
          <w:color w:val="000000"/>
          <w:sz w:val="24"/>
          <w:highlight w:val="none"/>
        </w:rPr>
      </w:pPr>
      <w:r>
        <w:rPr>
          <w:rFonts w:hint="eastAsia" w:ascii="仿宋" w:hAnsi="仿宋" w:eastAsia="仿宋" w:cs="仿宋"/>
          <w:color w:val="000000"/>
          <w:sz w:val="24"/>
          <w:highlight w:val="none"/>
        </w:rPr>
        <w:t>2.1投标人提交的支持文件和印制的文献可以用另一种语言，但相应内容应附有中文（汉语）的翻译本，在解释投标文件时以中文（汉语）为准。</w:t>
      </w:r>
    </w:p>
    <w:p w14:paraId="476D214A">
      <w:pPr>
        <w:shd w:val="clear"/>
        <w:tabs>
          <w:tab w:val="left" w:pos="525"/>
        </w:tabs>
        <w:spacing w:line="360" w:lineRule="auto"/>
        <w:ind w:left="420" w:hanging="420" w:hangingChars="175"/>
        <w:rPr>
          <w:rFonts w:hint="eastAsia" w:ascii="仿宋" w:hAnsi="仿宋" w:eastAsia="仿宋" w:cs="仿宋"/>
          <w:color w:val="000000"/>
          <w:sz w:val="24"/>
          <w:highlight w:val="none"/>
        </w:rPr>
      </w:pPr>
      <w:r>
        <w:rPr>
          <w:rFonts w:hint="eastAsia" w:ascii="仿宋" w:hAnsi="仿宋" w:eastAsia="仿宋" w:cs="仿宋"/>
          <w:color w:val="000000"/>
          <w:sz w:val="24"/>
          <w:highlight w:val="none"/>
        </w:rPr>
        <w:t>2.2投标文件中所有的计量单位，除邀标文件中有特殊要求外，采用国家法定计量单位。</w:t>
      </w:r>
    </w:p>
    <w:p w14:paraId="52B440C3">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color w:val="000000"/>
          <w:kern w:val="0"/>
          <w:sz w:val="24"/>
          <w:highlight w:val="none"/>
        </w:rPr>
      </w:pPr>
      <w:bookmarkStart w:id="82" w:name="_Toc24028"/>
      <w:bookmarkStart w:id="83" w:name="_Toc22694"/>
      <w:bookmarkStart w:id="84" w:name="_Toc29384"/>
      <w:bookmarkStart w:id="85" w:name="_Toc164330948"/>
      <w:bookmarkStart w:id="86" w:name="_Toc1915"/>
      <w:bookmarkStart w:id="87" w:name="_Toc89586894"/>
      <w:bookmarkStart w:id="88" w:name="_Toc91399394"/>
      <w:bookmarkStart w:id="89" w:name="_Toc97561931"/>
      <w:bookmarkStart w:id="90" w:name="_Toc15014"/>
      <w:bookmarkStart w:id="91" w:name="_Toc469850052"/>
      <w:bookmarkStart w:id="92" w:name="_Toc24442"/>
      <w:r>
        <w:rPr>
          <w:rFonts w:hint="eastAsia" w:ascii="仿宋" w:hAnsi="仿宋" w:eastAsia="仿宋" w:cs="仿宋"/>
          <w:b/>
          <w:color w:val="000000"/>
          <w:kern w:val="0"/>
          <w:sz w:val="24"/>
          <w:highlight w:val="none"/>
        </w:rPr>
        <w:t>投标文件构成</w:t>
      </w:r>
      <w:bookmarkEnd w:id="82"/>
      <w:bookmarkEnd w:id="83"/>
      <w:bookmarkEnd w:id="84"/>
      <w:bookmarkEnd w:id="85"/>
      <w:bookmarkEnd w:id="86"/>
      <w:bookmarkEnd w:id="87"/>
      <w:bookmarkEnd w:id="88"/>
      <w:bookmarkEnd w:id="89"/>
      <w:bookmarkEnd w:id="90"/>
      <w:bookmarkEnd w:id="91"/>
      <w:bookmarkEnd w:id="92"/>
    </w:p>
    <w:p w14:paraId="79550652">
      <w:pPr>
        <w:numPr>
          <w:ilvl w:val="1"/>
          <w:numId w:val="8"/>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投标文件</w:t>
      </w:r>
      <w:r>
        <w:rPr>
          <w:rFonts w:hint="eastAsia" w:ascii="仿宋" w:hAnsi="仿宋" w:eastAsia="仿宋" w:cs="仿宋"/>
          <w:sz w:val="24"/>
          <w:highlight w:val="none"/>
          <w:lang w:val="en-US" w:eastAsia="zh-CN"/>
        </w:rPr>
        <w:t>要求</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投标文件包含纸质版与电子版，针对纸质版</w:t>
      </w:r>
      <w:r>
        <w:rPr>
          <w:rFonts w:hint="eastAsia" w:ascii="仿宋" w:hAnsi="仿宋" w:eastAsia="仿宋" w:cs="仿宋"/>
          <w:sz w:val="24"/>
          <w:highlight w:val="none"/>
        </w:rPr>
        <w:t>投标人应将投标文件按资质文件、商务文件、技术文件、售后文件的顺序合并装订为一册（含1份正本、4份副本），并编制清晰的目录及对应页码。以上</w:t>
      </w:r>
      <w:r>
        <w:rPr>
          <w:rFonts w:hint="eastAsia" w:ascii="仿宋" w:hAnsi="仿宋" w:eastAsia="仿宋" w:cs="仿宋"/>
          <w:sz w:val="24"/>
          <w:highlight w:val="none"/>
          <w:lang w:val="en-US" w:eastAsia="zh-CN"/>
        </w:rPr>
        <w:t>5份</w:t>
      </w:r>
      <w:r>
        <w:rPr>
          <w:rFonts w:hint="eastAsia" w:ascii="仿宋" w:hAnsi="仿宋" w:eastAsia="仿宋" w:cs="仿宋"/>
          <w:sz w:val="24"/>
          <w:highlight w:val="none"/>
        </w:rPr>
        <w:t>文件</w:t>
      </w:r>
      <w:r>
        <w:rPr>
          <w:rFonts w:hint="eastAsia" w:ascii="仿宋" w:hAnsi="仿宋" w:eastAsia="仿宋" w:cs="仿宋"/>
          <w:b/>
          <w:bCs/>
          <w:sz w:val="24"/>
          <w:highlight w:val="none"/>
          <w:lang w:val="en-US" w:eastAsia="zh-CN"/>
        </w:rPr>
        <w:t>均</w:t>
      </w:r>
      <w:r>
        <w:rPr>
          <w:rFonts w:hint="eastAsia" w:ascii="仿宋" w:hAnsi="仿宋" w:eastAsia="仿宋" w:cs="仿宋"/>
          <w:b/>
          <w:bCs/>
          <w:sz w:val="24"/>
          <w:highlight w:val="none"/>
        </w:rPr>
        <w:t>需</w:t>
      </w:r>
      <w:r>
        <w:rPr>
          <w:rFonts w:hint="eastAsia" w:ascii="仿宋" w:hAnsi="仿宋" w:eastAsia="仿宋" w:cs="仿宋"/>
          <w:b/>
          <w:bCs/>
          <w:sz w:val="24"/>
          <w:highlight w:val="none"/>
          <w:lang w:val="en-US" w:eastAsia="zh-CN"/>
        </w:rPr>
        <w:t>逐页</w:t>
      </w:r>
      <w:r>
        <w:rPr>
          <w:rFonts w:hint="eastAsia" w:ascii="仿宋" w:hAnsi="仿宋" w:eastAsia="仿宋" w:cs="仿宋"/>
          <w:b/>
          <w:bCs/>
          <w:sz w:val="24"/>
          <w:highlight w:val="none"/>
        </w:rPr>
        <w:t>加盖公章或投标专用章且</w:t>
      </w:r>
      <w:r>
        <w:rPr>
          <w:rFonts w:hint="eastAsia" w:ascii="仿宋" w:hAnsi="仿宋" w:eastAsia="仿宋" w:cs="仿宋"/>
          <w:b/>
          <w:bCs/>
          <w:color w:val="FF0000"/>
          <w:sz w:val="24"/>
          <w:highlight w:val="none"/>
        </w:rPr>
        <w:t>独立密封</w:t>
      </w:r>
      <w:r>
        <w:rPr>
          <w:rFonts w:hint="eastAsia" w:ascii="仿宋" w:hAnsi="仿宋" w:eastAsia="仿宋" w:cs="仿宋"/>
          <w:b/>
          <w:bCs/>
          <w:color w:val="FF0000"/>
          <w:sz w:val="24"/>
          <w:highlight w:val="none"/>
          <w:lang w:eastAsia="zh-CN"/>
        </w:rPr>
        <w:t>；</w:t>
      </w:r>
      <w:r>
        <w:rPr>
          <w:rFonts w:hint="eastAsia" w:ascii="仿宋" w:hAnsi="仿宋" w:eastAsia="仿宋" w:cs="仿宋"/>
          <w:b/>
          <w:bCs/>
          <w:color w:val="FF0000"/>
          <w:sz w:val="24"/>
          <w:highlight w:val="none"/>
          <w:lang w:val="en-US" w:eastAsia="zh-CN"/>
        </w:rPr>
        <w:t>针对电子版文件需包含：</w:t>
      </w:r>
    </w:p>
    <w:p w14:paraId="1B807113">
      <w:pPr>
        <w:numPr>
          <w:ilvl w:val="0"/>
          <w:numId w:val="9"/>
        </w:numPr>
        <w:shd w:val="clear"/>
        <w:spacing w:line="360" w:lineRule="auto"/>
        <w:ind w:left="420" w:leftChars="0" w:firstLine="420" w:firstLineChars="0"/>
        <w:rPr>
          <w:rFonts w:hint="eastAsia" w:ascii="仿宋" w:hAnsi="仿宋" w:eastAsia="仿宋" w:cs="仿宋"/>
          <w:sz w:val="24"/>
          <w:highlight w:val="none"/>
        </w:rPr>
      </w:pPr>
      <w:r>
        <w:rPr>
          <w:rFonts w:hint="eastAsia" w:ascii="仿宋" w:hAnsi="仿宋" w:eastAsia="仿宋" w:cs="仿宋"/>
          <w:sz w:val="24"/>
          <w:highlight w:val="none"/>
        </w:rPr>
        <w:t>加密扫描件：上述正本文件的完整电子扫描件1份</w:t>
      </w:r>
      <w:r>
        <w:rPr>
          <w:rFonts w:hint="eastAsia" w:ascii="仿宋" w:hAnsi="仿宋" w:eastAsia="仿宋" w:cs="仿宋"/>
          <w:sz w:val="24"/>
          <w:highlight w:val="none"/>
          <w:lang w:val="en-US" w:eastAsia="zh-CN"/>
        </w:rPr>
        <w:t>及附件五</w:t>
      </w:r>
      <w:r>
        <w:rPr>
          <w:rFonts w:hint="eastAsia" w:ascii="仿宋" w:hAnsi="仿宋" w:eastAsia="仿宋" w:cs="仿宋"/>
          <w:sz w:val="24"/>
          <w:highlight w:val="none"/>
        </w:rPr>
        <w:t>《分项报价表》</w:t>
      </w:r>
      <w:r>
        <w:rPr>
          <w:rFonts w:hint="eastAsia" w:ascii="仿宋" w:hAnsi="仿宋" w:eastAsia="仿宋" w:cs="仿宋"/>
          <w:sz w:val="24"/>
          <w:highlight w:val="none"/>
          <w:lang w:val="en-US" w:eastAsia="zh-CN"/>
        </w:rPr>
        <w:t>excel版加密压缩</w:t>
      </w:r>
      <w:r>
        <w:rPr>
          <w:rFonts w:hint="eastAsia" w:ascii="仿宋" w:hAnsi="仿宋" w:eastAsia="仿宋" w:cs="仿宋"/>
          <w:sz w:val="24"/>
          <w:highlight w:val="none"/>
        </w:rPr>
        <w:t>发送至招标人指定邮箱（邮箱：2456761499@qq.com），解压密码须</w:t>
      </w:r>
      <w:r>
        <w:rPr>
          <w:rFonts w:hint="eastAsia" w:ascii="仿宋" w:hAnsi="仿宋" w:eastAsia="仿宋" w:cs="仿宋"/>
          <w:sz w:val="24"/>
          <w:highlight w:val="none"/>
          <w:lang w:val="en-US" w:eastAsia="zh-CN"/>
        </w:rPr>
        <w:t>在</w:t>
      </w:r>
      <w:r>
        <w:rPr>
          <w:rFonts w:hint="eastAsia" w:ascii="仿宋" w:hAnsi="仿宋" w:eastAsia="仿宋" w:cs="仿宋"/>
          <w:sz w:val="24"/>
          <w:highlight w:val="none"/>
        </w:rPr>
        <w:t>投标文件附件12</w:t>
      </w:r>
      <w:r>
        <w:rPr>
          <w:rFonts w:hint="eastAsia" w:ascii="仿宋" w:hAnsi="仿宋" w:eastAsia="仿宋" w:cs="仿宋"/>
          <w:sz w:val="24"/>
          <w:highlight w:val="none"/>
          <w:lang w:val="en-US" w:eastAsia="zh-CN"/>
        </w:rPr>
        <w:t>说明</w:t>
      </w:r>
      <w:r>
        <w:rPr>
          <w:rFonts w:hint="eastAsia" w:ascii="仿宋" w:hAnsi="仿宋" w:eastAsia="仿宋" w:cs="仿宋"/>
          <w:sz w:val="24"/>
          <w:highlight w:val="none"/>
        </w:rPr>
        <w:t>；</w:t>
      </w:r>
    </w:p>
    <w:p w14:paraId="28BB1E66">
      <w:pPr>
        <w:numPr>
          <w:ilvl w:val="0"/>
          <w:numId w:val="9"/>
        </w:numPr>
        <w:shd w:val="clear"/>
        <w:spacing w:line="360" w:lineRule="auto"/>
        <w:ind w:left="420" w:leftChars="0" w:firstLine="420" w:firstLineChars="0"/>
        <w:rPr>
          <w:rFonts w:hint="eastAsia" w:ascii="仿宋" w:hAnsi="仿宋" w:eastAsia="仿宋" w:cs="仿宋"/>
          <w:sz w:val="24"/>
          <w:highlight w:val="none"/>
        </w:rPr>
      </w:pPr>
      <w:r>
        <w:rPr>
          <w:rFonts w:hint="eastAsia" w:ascii="仿宋" w:hAnsi="仿宋" w:eastAsia="仿宋" w:cs="仿宋"/>
          <w:sz w:val="24"/>
          <w:highlight w:val="none"/>
        </w:rPr>
        <w:t>现场U盘</w:t>
      </w:r>
      <w:r>
        <w:rPr>
          <w:rFonts w:hint="eastAsia" w:ascii="仿宋" w:hAnsi="仿宋" w:eastAsia="仿宋" w:cs="仿宋"/>
          <w:sz w:val="24"/>
          <w:highlight w:val="none"/>
          <w:lang w:val="en-US" w:eastAsia="zh-CN"/>
        </w:rPr>
        <w:t>内附</w:t>
      </w:r>
      <w:r>
        <w:rPr>
          <w:rFonts w:hint="eastAsia" w:ascii="仿宋" w:hAnsi="仿宋" w:eastAsia="仿宋" w:cs="仿宋"/>
          <w:sz w:val="24"/>
          <w:highlight w:val="none"/>
        </w:rPr>
        <w:t>：上述正本文件的完整电子扫描件1份</w:t>
      </w:r>
      <w:r>
        <w:rPr>
          <w:rFonts w:hint="eastAsia" w:ascii="仿宋" w:hAnsi="仿宋" w:eastAsia="仿宋" w:cs="仿宋"/>
          <w:sz w:val="24"/>
          <w:highlight w:val="none"/>
          <w:lang w:val="en-US" w:eastAsia="zh-CN"/>
        </w:rPr>
        <w:t>及附件五</w:t>
      </w:r>
      <w:r>
        <w:rPr>
          <w:rFonts w:hint="eastAsia" w:ascii="仿宋" w:hAnsi="仿宋" w:eastAsia="仿宋" w:cs="仿宋"/>
          <w:sz w:val="24"/>
          <w:highlight w:val="none"/>
        </w:rPr>
        <w:t>《分项报价表》</w:t>
      </w:r>
      <w:r>
        <w:rPr>
          <w:rFonts w:hint="eastAsia" w:ascii="仿宋" w:hAnsi="仿宋" w:eastAsia="仿宋" w:cs="仿宋"/>
          <w:sz w:val="24"/>
          <w:highlight w:val="none"/>
          <w:lang w:val="en-US" w:eastAsia="zh-CN"/>
        </w:rPr>
        <w:t>excel版进行</w:t>
      </w:r>
      <w:r>
        <w:rPr>
          <w:rFonts w:hint="eastAsia" w:ascii="仿宋" w:hAnsi="仿宋" w:eastAsia="仿宋" w:cs="仿宋"/>
          <w:sz w:val="24"/>
          <w:highlight w:val="none"/>
        </w:rPr>
        <w:t>单独封装、随投标书一同提交的</w:t>
      </w:r>
      <w:r>
        <w:rPr>
          <w:rFonts w:hint="eastAsia" w:ascii="仿宋" w:hAnsi="仿宋" w:eastAsia="仿宋" w:cs="仿宋"/>
          <w:b/>
          <w:bCs/>
          <w:sz w:val="24"/>
          <w:highlight w:val="none"/>
        </w:rPr>
        <w:t>未加密</w:t>
      </w:r>
      <w:r>
        <w:rPr>
          <w:rFonts w:hint="eastAsia" w:ascii="仿宋" w:hAnsi="仿宋" w:eastAsia="仿宋" w:cs="仿宋"/>
          <w:sz w:val="24"/>
          <w:highlight w:val="none"/>
        </w:rPr>
        <w:t>正本文件U盘1份（内含完整正本文件）。</w:t>
      </w:r>
    </w:p>
    <w:p w14:paraId="02567E90">
      <w:pPr>
        <w:pStyle w:val="18"/>
        <w:numPr>
          <w:ilvl w:val="1"/>
          <w:numId w:val="8"/>
        </w:numPr>
        <w:shd w:val="clear"/>
        <w:spacing w:line="360" w:lineRule="auto"/>
        <w:ind w:left="567" w:leftChars="0" w:hanging="567"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产品演示：准备产品演示PPT</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演示内容包含：</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宣讲及答疑时间：30分钟</w:t>
      </w:r>
      <w:r>
        <w:rPr>
          <w:rFonts w:hint="eastAsia" w:ascii="仿宋" w:hAnsi="仿宋" w:eastAsia="仿宋" w:cs="仿宋"/>
          <w:sz w:val="24"/>
          <w:szCs w:val="24"/>
          <w:highlight w:val="none"/>
          <w:lang w:eastAsia="zh-CN"/>
        </w:rPr>
        <w:t>）</w:t>
      </w:r>
    </w:p>
    <w:p w14:paraId="2CF446E4">
      <w:pPr>
        <w:pStyle w:val="18"/>
        <w:numPr>
          <w:ilvl w:val="0"/>
          <w:numId w:val="10"/>
        </w:numPr>
        <w:shd w:val="clear"/>
        <w:spacing w:line="360" w:lineRule="auto"/>
        <w:ind w:leftChars="0" w:hanging="5" w:firstLineChars="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公司简介；</w:t>
      </w:r>
    </w:p>
    <w:p w14:paraId="2CB401F4">
      <w:pPr>
        <w:pStyle w:val="18"/>
        <w:numPr>
          <w:ilvl w:val="0"/>
          <w:numId w:val="10"/>
        </w:numPr>
        <w:shd w:val="clear"/>
        <w:spacing w:line="360" w:lineRule="auto"/>
        <w:ind w:leftChars="0" w:hanging="5" w:firstLineChars="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三级或以上</w:t>
      </w:r>
      <w:r>
        <w:rPr>
          <w:rFonts w:hint="eastAsia" w:ascii="仿宋" w:hAnsi="仿宋" w:eastAsia="仿宋" w:cs="仿宋"/>
          <w:bCs/>
          <w:sz w:val="24"/>
          <w:szCs w:val="24"/>
          <w:highlight w:val="none"/>
        </w:rPr>
        <w:t>医院</w:t>
      </w:r>
      <w:r>
        <w:rPr>
          <w:rFonts w:hint="eastAsia" w:ascii="仿宋" w:hAnsi="仿宋" w:eastAsia="仿宋" w:cs="仿宋"/>
          <w:bCs/>
          <w:sz w:val="24"/>
          <w:szCs w:val="24"/>
          <w:highlight w:val="none"/>
          <w:lang w:eastAsia="zh-CN"/>
        </w:rPr>
        <w:t>医保智能审核和DRG精细化管理系统</w:t>
      </w:r>
      <w:r>
        <w:rPr>
          <w:rFonts w:hint="eastAsia" w:ascii="仿宋" w:hAnsi="仿宋" w:eastAsia="仿宋" w:cs="仿宋"/>
          <w:bCs/>
          <w:sz w:val="24"/>
          <w:szCs w:val="24"/>
          <w:highlight w:val="none"/>
          <w:lang w:val="en-US" w:eastAsia="zh-CN"/>
        </w:rPr>
        <w:t>建设</w:t>
      </w:r>
      <w:r>
        <w:rPr>
          <w:rFonts w:hint="eastAsia" w:ascii="仿宋" w:hAnsi="仿宋" w:eastAsia="仿宋" w:cs="仿宋"/>
          <w:bCs/>
          <w:sz w:val="24"/>
          <w:szCs w:val="24"/>
          <w:highlight w:val="none"/>
        </w:rPr>
        <w:t>项目案例（需与投标品牌一致</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DRG精细化管理系统</w:t>
      </w:r>
      <w:r>
        <w:rPr>
          <w:rFonts w:hint="eastAsia" w:ascii="仿宋" w:hAnsi="仿宋" w:eastAsia="仿宋" w:cs="仿宋"/>
          <w:bCs/>
          <w:sz w:val="24"/>
          <w:szCs w:val="24"/>
          <w:highlight w:val="none"/>
          <w:lang w:val="en-US" w:eastAsia="zh-CN"/>
        </w:rPr>
        <w:t>和</w:t>
      </w:r>
      <w:r>
        <w:rPr>
          <w:rFonts w:hint="eastAsia" w:ascii="仿宋" w:hAnsi="仿宋" w:eastAsia="仿宋" w:cs="仿宋"/>
          <w:bCs/>
          <w:sz w:val="24"/>
          <w:szCs w:val="24"/>
          <w:highlight w:val="none"/>
        </w:rPr>
        <w:t>医保智能审核系统</w:t>
      </w:r>
      <w:r>
        <w:rPr>
          <w:rFonts w:hint="eastAsia" w:ascii="仿宋" w:hAnsi="仿宋" w:eastAsia="仿宋" w:cs="仿宋"/>
          <w:bCs/>
          <w:sz w:val="24"/>
          <w:szCs w:val="24"/>
          <w:highlight w:val="none"/>
          <w:lang w:val="en-US" w:eastAsia="zh-CN"/>
        </w:rPr>
        <w:t>分开说明</w:t>
      </w:r>
      <w:r>
        <w:rPr>
          <w:rFonts w:hint="eastAsia" w:ascii="仿宋" w:hAnsi="仿宋" w:eastAsia="仿宋" w:cs="仿宋"/>
          <w:bCs/>
          <w:sz w:val="24"/>
          <w:szCs w:val="24"/>
          <w:highlight w:val="none"/>
        </w:rPr>
        <w:t>）；</w:t>
      </w:r>
    </w:p>
    <w:p w14:paraId="7F0431F5">
      <w:pPr>
        <w:pStyle w:val="18"/>
        <w:numPr>
          <w:ilvl w:val="0"/>
          <w:numId w:val="10"/>
        </w:numPr>
        <w:shd w:val="clear"/>
        <w:spacing w:line="360" w:lineRule="auto"/>
        <w:ind w:leftChars="0" w:hanging="5" w:firstLineChars="0"/>
        <w:rPr>
          <w:rFonts w:hint="eastAsia" w:ascii="仿宋" w:hAnsi="仿宋" w:eastAsia="仿宋" w:cs="仿宋"/>
          <w:bCs/>
          <w:sz w:val="24"/>
          <w:szCs w:val="24"/>
          <w:highlight w:val="none"/>
        </w:rPr>
      </w:pPr>
      <w:r>
        <w:rPr>
          <w:rFonts w:hint="eastAsia" w:ascii="仿宋" w:hAnsi="仿宋" w:eastAsia="仿宋" w:cs="仿宋"/>
          <w:bCs/>
          <w:sz w:val="24"/>
          <w:szCs w:val="24"/>
          <w:highlight w:val="none"/>
        </w:rPr>
        <w:t>系统架构及功能实现方案；</w:t>
      </w:r>
    </w:p>
    <w:p w14:paraId="2623A647">
      <w:pPr>
        <w:pStyle w:val="18"/>
        <w:numPr>
          <w:ilvl w:val="0"/>
          <w:numId w:val="10"/>
        </w:numPr>
        <w:shd w:val="clear"/>
        <w:spacing w:line="360" w:lineRule="auto"/>
        <w:ind w:leftChars="0" w:hanging="5" w:firstLineChars="0"/>
        <w:rPr>
          <w:rFonts w:hint="eastAsia" w:ascii="仿宋" w:hAnsi="仿宋" w:eastAsia="仿宋" w:cs="仿宋"/>
          <w:bCs/>
          <w:sz w:val="24"/>
          <w:szCs w:val="24"/>
          <w:highlight w:val="none"/>
        </w:rPr>
      </w:pPr>
      <w:r>
        <w:rPr>
          <w:rFonts w:hint="eastAsia" w:ascii="仿宋" w:hAnsi="仿宋" w:eastAsia="仿宋" w:cs="仿宋"/>
          <w:bCs/>
          <w:sz w:val="24"/>
          <w:szCs w:val="24"/>
          <w:highlight w:val="none"/>
        </w:rPr>
        <w:t>实施计划</w:t>
      </w:r>
      <w:r>
        <w:rPr>
          <w:rFonts w:hint="eastAsia" w:ascii="仿宋" w:hAnsi="仿宋" w:eastAsia="仿宋" w:cs="仿宋"/>
          <w:bCs/>
          <w:sz w:val="24"/>
          <w:szCs w:val="24"/>
          <w:highlight w:val="none"/>
          <w:lang w:val="en-US" w:eastAsia="zh-CN"/>
        </w:rPr>
        <w:t>及要点</w:t>
      </w:r>
      <w:r>
        <w:rPr>
          <w:rFonts w:hint="eastAsia" w:ascii="仿宋" w:hAnsi="仿宋" w:eastAsia="仿宋" w:cs="仿宋"/>
          <w:bCs/>
          <w:sz w:val="24"/>
          <w:szCs w:val="24"/>
          <w:highlight w:val="none"/>
        </w:rPr>
        <w:t>、运维及售后安排；</w:t>
      </w:r>
    </w:p>
    <w:p w14:paraId="7F0EAFD3">
      <w:pPr>
        <w:pStyle w:val="18"/>
        <w:numPr>
          <w:ilvl w:val="0"/>
          <w:numId w:val="10"/>
        </w:numPr>
        <w:shd w:val="clear"/>
        <w:spacing w:line="360" w:lineRule="auto"/>
        <w:ind w:leftChars="0" w:hanging="5" w:firstLineChars="0"/>
        <w:rPr>
          <w:rFonts w:hint="eastAsia" w:ascii="仿宋" w:hAnsi="仿宋" w:eastAsia="仿宋" w:cs="仿宋"/>
          <w:bCs/>
          <w:sz w:val="24"/>
          <w:szCs w:val="24"/>
          <w:highlight w:val="none"/>
        </w:rPr>
      </w:pPr>
      <w:r>
        <w:rPr>
          <w:rFonts w:hint="eastAsia" w:ascii="仿宋" w:hAnsi="仿宋" w:eastAsia="仿宋" w:cs="仿宋"/>
          <w:bCs/>
          <w:sz w:val="24"/>
          <w:szCs w:val="24"/>
          <w:highlight w:val="none"/>
        </w:rPr>
        <w:t>项目经理（水平、资质、实施DRG的案例医院），项目实施过程中更换项目经理机制</w:t>
      </w:r>
      <w:r>
        <w:rPr>
          <w:rFonts w:hint="eastAsia" w:ascii="仿宋" w:hAnsi="仿宋" w:eastAsia="仿宋" w:cs="仿宋"/>
          <w:bCs/>
          <w:sz w:val="24"/>
          <w:szCs w:val="24"/>
          <w:highlight w:val="none"/>
          <w:lang w:eastAsia="zh-CN"/>
        </w:rPr>
        <w:t>；</w:t>
      </w:r>
    </w:p>
    <w:p w14:paraId="1A4A9167">
      <w:pPr>
        <w:pStyle w:val="18"/>
        <w:numPr>
          <w:ilvl w:val="0"/>
          <w:numId w:val="10"/>
        </w:numPr>
        <w:shd w:val="clear"/>
        <w:spacing w:line="360" w:lineRule="auto"/>
        <w:ind w:leftChars="0" w:hanging="5" w:firstLineChars="0"/>
        <w:rPr>
          <w:rFonts w:hint="eastAsia" w:ascii="仿宋" w:hAnsi="仿宋" w:eastAsia="仿宋" w:cs="仿宋"/>
          <w:b w:val="0"/>
          <w:bCs/>
          <w:sz w:val="24"/>
          <w:szCs w:val="24"/>
          <w:highlight w:val="none"/>
        </w:rPr>
      </w:pPr>
      <w:r>
        <w:rPr>
          <w:rFonts w:hint="eastAsia" w:ascii="仿宋" w:hAnsi="仿宋" w:eastAsia="仿宋" w:cs="仿宋"/>
          <w:b w:val="0"/>
          <w:bCs/>
          <w:sz w:val="24"/>
          <w:szCs w:val="24"/>
          <w:highlight w:val="none"/>
        </w:rPr>
        <w:t>其他优惠承诺及措施。</w:t>
      </w:r>
    </w:p>
    <w:p w14:paraId="0F9EB2B2">
      <w:pPr>
        <w:pStyle w:val="18"/>
        <w:numPr>
          <w:ilvl w:val="1"/>
          <w:numId w:val="8"/>
        </w:numPr>
        <w:shd w:val="clear"/>
        <w:spacing w:line="360" w:lineRule="auto"/>
        <w:ind w:left="567" w:leftChars="0" w:hanging="567" w:firstLineChars="0"/>
        <w:rPr>
          <w:rFonts w:hint="eastAsia" w:ascii="仿宋" w:hAnsi="仿宋" w:eastAsia="仿宋" w:cs="仿宋"/>
          <w:b w:val="0"/>
          <w:bCs/>
          <w:sz w:val="24"/>
          <w:szCs w:val="24"/>
          <w:highlight w:val="none"/>
        </w:rPr>
      </w:pPr>
      <w:r>
        <w:rPr>
          <w:rFonts w:hint="eastAsia" w:ascii="仿宋" w:hAnsi="仿宋" w:eastAsia="仿宋" w:cs="仿宋"/>
          <w:b w:val="0"/>
          <w:bCs/>
          <w:sz w:val="24"/>
          <w:szCs w:val="24"/>
          <w:highlight w:val="none"/>
        </w:rPr>
        <w:t>资质文件部分应包含</w:t>
      </w:r>
      <w:r>
        <w:rPr>
          <w:rFonts w:hint="eastAsia" w:ascii="仿宋" w:hAnsi="仿宋" w:eastAsia="仿宋" w:cs="仿宋"/>
          <w:b w:val="0"/>
          <w:bCs/>
          <w:sz w:val="24"/>
          <w:szCs w:val="24"/>
          <w:highlight w:val="none"/>
          <w:lang w:eastAsia="zh-CN"/>
        </w:rPr>
        <w:t>（</w:t>
      </w:r>
      <w:r>
        <w:rPr>
          <w:rFonts w:hint="eastAsia" w:ascii="仿宋" w:hAnsi="仿宋" w:eastAsia="仿宋" w:cs="仿宋"/>
          <w:b w:val="0"/>
          <w:bCs/>
          <w:sz w:val="24"/>
          <w:szCs w:val="24"/>
          <w:highlight w:val="none"/>
          <w:lang w:val="en-US" w:eastAsia="zh-CN"/>
        </w:rPr>
        <w:t>标明页码</w:t>
      </w:r>
      <w:r>
        <w:rPr>
          <w:rFonts w:hint="eastAsia" w:ascii="仿宋" w:hAnsi="仿宋" w:eastAsia="仿宋" w:cs="仿宋"/>
          <w:b w:val="0"/>
          <w:bCs/>
          <w:sz w:val="24"/>
          <w:szCs w:val="24"/>
          <w:highlight w:val="none"/>
          <w:lang w:eastAsia="zh-CN"/>
        </w:rPr>
        <w:t>）</w:t>
      </w:r>
      <w:r>
        <w:rPr>
          <w:rFonts w:hint="eastAsia" w:ascii="仿宋" w:hAnsi="仿宋" w:eastAsia="仿宋" w:cs="仿宋"/>
          <w:b w:val="0"/>
          <w:bCs/>
          <w:sz w:val="24"/>
          <w:szCs w:val="24"/>
          <w:highlight w:val="none"/>
        </w:rPr>
        <w:t>：</w:t>
      </w:r>
    </w:p>
    <w:p w14:paraId="4FCCC140">
      <w:pPr>
        <w:numPr>
          <w:ilvl w:val="0"/>
          <w:numId w:val="11"/>
        </w:numPr>
        <w:shd w:val="clear"/>
        <w:tabs>
          <w:tab w:val="left" w:pos="420"/>
        </w:tabs>
        <w:spacing w:line="360" w:lineRule="auto"/>
        <w:ind w:hanging="5"/>
        <w:rPr>
          <w:rFonts w:hint="eastAsia" w:ascii="仿宋" w:hAnsi="仿宋" w:eastAsia="仿宋" w:cs="仿宋"/>
          <w:b w:val="0"/>
          <w:bCs/>
          <w:kern w:val="0"/>
          <w:sz w:val="24"/>
          <w:highlight w:val="none"/>
        </w:rPr>
      </w:pPr>
      <w:r>
        <w:rPr>
          <w:rFonts w:hint="eastAsia" w:ascii="仿宋" w:hAnsi="仿宋" w:eastAsia="仿宋" w:cs="仿宋"/>
          <w:b w:val="0"/>
          <w:bCs/>
          <w:kern w:val="0"/>
          <w:sz w:val="24"/>
          <w:highlight w:val="none"/>
          <w:lang w:val="en-US" w:eastAsia="zh-CN"/>
        </w:rPr>
        <w:t>资质文件目录；</w:t>
      </w:r>
    </w:p>
    <w:p w14:paraId="27CBC08B">
      <w:pPr>
        <w:numPr>
          <w:ilvl w:val="0"/>
          <w:numId w:val="11"/>
        </w:numPr>
        <w:shd w:val="clear"/>
        <w:tabs>
          <w:tab w:val="left" w:pos="420"/>
        </w:tabs>
        <w:spacing w:line="360" w:lineRule="auto"/>
        <w:ind w:hanging="5"/>
        <w:rPr>
          <w:rFonts w:hint="eastAsia" w:ascii="仿宋" w:hAnsi="仿宋" w:eastAsia="仿宋" w:cs="仿宋"/>
          <w:b w:val="0"/>
          <w:bCs/>
          <w:kern w:val="0"/>
          <w:sz w:val="24"/>
          <w:highlight w:val="none"/>
        </w:rPr>
      </w:pPr>
      <w:r>
        <w:rPr>
          <w:rFonts w:hint="eastAsia" w:ascii="仿宋" w:hAnsi="仿宋" w:eastAsia="仿宋" w:cs="仿宋"/>
          <w:b w:val="0"/>
          <w:bCs/>
          <w:kern w:val="0"/>
          <w:sz w:val="24"/>
          <w:highlight w:val="none"/>
        </w:rPr>
        <w:t>投标人营业执照（三证合一）；</w:t>
      </w:r>
    </w:p>
    <w:p w14:paraId="700FBEE5">
      <w:pPr>
        <w:numPr>
          <w:ilvl w:val="0"/>
          <w:numId w:val="11"/>
        </w:numPr>
        <w:shd w:val="clear"/>
        <w:tabs>
          <w:tab w:val="left" w:pos="420"/>
        </w:tabs>
        <w:spacing w:line="360" w:lineRule="auto"/>
        <w:ind w:hanging="5"/>
        <w:rPr>
          <w:rFonts w:hint="eastAsia" w:ascii="仿宋" w:hAnsi="仿宋" w:eastAsia="仿宋" w:cs="仿宋"/>
          <w:b w:val="0"/>
          <w:bCs/>
          <w:kern w:val="0"/>
          <w:sz w:val="24"/>
          <w:highlight w:val="none"/>
        </w:rPr>
      </w:pPr>
      <w:r>
        <w:rPr>
          <w:rFonts w:hint="eastAsia" w:ascii="仿宋" w:hAnsi="仿宋" w:eastAsia="仿宋" w:cs="仿宋"/>
          <w:b w:val="0"/>
          <w:bCs/>
          <w:kern w:val="0"/>
          <w:sz w:val="24"/>
          <w:highlight w:val="none"/>
        </w:rPr>
        <w:t>法定代表人授权委托书及被授权人身份证复印件</w:t>
      </w:r>
      <w:r>
        <w:rPr>
          <w:rFonts w:hint="eastAsia" w:ascii="仿宋" w:hAnsi="仿宋" w:eastAsia="仿宋" w:cs="仿宋"/>
          <w:b w:val="0"/>
          <w:bCs/>
          <w:kern w:val="0"/>
          <w:sz w:val="24"/>
          <w:highlight w:val="none"/>
          <w:lang w:eastAsia="zh-CN"/>
        </w:rPr>
        <w:t>（</w:t>
      </w:r>
      <w:r>
        <w:rPr>
          <w:rFonts w:hint="eastAsia" w:ascii="仿宋" w:hAnsi="仿宋" w:eastAsia="仿宋" w:cs="仿宋"/>
          <w:b w:val="0"/>
          <w:bCs/>
          <w:kern w:val="0"/>
          <w:sz w:val="24"/>
          <w:highlight w:val="none"/>
          <w:lang w:val="en-US" w:eastAsia="zh-CN"/>
        </w:rPr>
        <w:t>附件11</w:t>
      </w:r>
      <w:r>
        <w:rPr>
          <w:rFonts w:hint="eastAsia" w:ascii="仿宋" w:hAnsi="仿宋" w:eastAsia="仿宋" w:cs="仿宋"/>
          <w:b w:val="0"/>
          <w:bCs/>
          <w:kern w:val="0"/>
          <w:sz w:val="24"/>
          <w:highlight w:val="none"/>
          <w:lang w:eastAsia="zh-CN"/>
        </w:rPr>
        <w:t>）</w:t>
      </w:r>
      <w:r>
        <w:rPr>
          <w:rFonts w:hint="eastAsia" w:ascii="仿宋" w:hAnsi="仿宋" w:eastAsia="仿宋" w:cs="仿宋"/>
          <w:b w:val="0"/>
          <w:bCs/>
          <w:kern w:val="0"/>
          <w:sz w:val="24"/>
          <w:highlight w:val="none"/>
        </w:rPr>
        <w:t>；</w:t>
      </w:r>
    </w:p>
    <w:p w14:paraId="44E84680">
      <w:pPr>
        <w:numPr>
          <w:ilvl w:val="0"/>
          <w:numId w:val="11"/>
        </w:numPr>
        <w:shd w:val="clear"/>
        <w:tabs>
          <w:tab w:val="left" w:pos="420"/>
        </w:tabs>
        <w:spacing w:line="360" w:lineRule="auto"/>
        <w:ind w:hanging="5"/>
        <w:rPr>
          <w:rFonts w:hint="eastAsia" w:ascii="仿宋" w:hAnsi="仿宋" w:eastAsia="仿宋" w:cs="仿宋"/>
          <w:b w:val="0"/>
          <w:bCs/>
          <w:kern w:val="0"/>
          <w:sz w:val="24"/>
          <w:highlight w:val="none"/>
        </w:rPr>
      </w:pPr>
      <w:r>
        <w:rPr>
          <w:rFonts w:hint="eastAsia" w:ascii="仿宋" w:hAnsi="仿宋" w:eastAsia="仿宋" w:cs="仿宋"/>
          <w:b w:val="0"/>
          <w:bCs/>
          <w:kern w:val="0"/>
          <w:sz w:val="24"/>
          <w:highlight w:val="none"/>
        </w:rPr>
        <w:t>投标人在</w:t>
      </w:r>
      <w:r>
        <w:rPr>
          <w:rFonts w:hint="eastAsia" w:ascii="仿宋" w:hAnsi="仿宋" w:eastAsia="仿宋" w:cs="仿宋"/>
          <w:b w:val="0"/>
          <w:bCs/>
          <w:kern w:val="0"/>
          <w:sz w:val="24"/>
          <w:highlight w:val="none"/>
          <w:lang w:val="en-US" w:eastAsia="zh-CN"/>
        </w:rPr>
        <w:t>成都</w:t>
      </w:r>
      <w:r>
        <w:rPr>
          <w:rFonts w:hint="eastAsia" w:ascii="仿宋" w:hAnsi="仿宋" w:eastAsia="仿宋" w:cs="仿宋"/>
          <w:b w:val="0"/>
          <w:bCs/>
          <w:kern w:val="0"/>
          <w:sz w:val="24"/>
          <w:highlight w:val="none"/>
        </w:rPr>
        <w:t>市或</w:t>
      </w:r>
      <w:r>
        <w:rPr>
          <w:rFonts w:hint="eastAsia" w:ascii="仿宋" w:hAnsi="仿宋" w:eastAsia="仿宋" w:cs="仿宋"/>
          <w:b w:val="0"/>
          <w:bCs/>
          <w:kern w:val="0"/>
          <w:sz w:val="24"/>
          <w:highlight w:val="none"/>
          <w:lang w:val="en-US" w:eastAsia="zh-CN"/>
        </w:rPr>
        <w:t>四川省</w:t>
      </w:r>
      <w:r>
        <w:rPr>
          <w:rFonts w:hint="eastAsia" w:ascii="仿宋" w:hAnsi="仿宋" w:eastAsia="仿宋" w:cs="仿宋"/>
          <w:b w:val="0"/>
          <w:bCs/>
          <w:kern w:val="0"/>
          <w:sz w:val="24"/>
          <w:highlight w:val="none"/>
        </w:rPr>
        <w:t>范围内有公司或具备服务能力，作为承担售后服务工作的常驻服务机构；</w:t>
      </w:r>
    </w:p>
    <w:p w14:paraId="1EB18C89">
      <w:pPr>
        <w:numPr>
          <w:ilvl w:val="0"/>
          <w:numId w:val="11"/>
        </w:numPr>
        <w:shd w:val="clear"/>
        <w:tabs>
          <w:tab w:val="left" w:pos="420"/>
        </w:tabs>
        <w:spacing w:line="360" w:lineRule="auto"/>
        <w:ind w:hanging="5"/>
        <w:rPr>
          <w:rFonts w:hint="eastAsia" w:ascii="仿宋" w:hAnsi="仿宋" w:eastAsia="仿宋" w:cs="仿宋"/>
          <w:b w:val="0"/>
          <w:bCs/>
          <w:kern w:val="0"/>
          <w:sz w:val="24"/>
          <w:highlight w:val="none"/>
        </w:rPr>
      </w:pPr>
      <w:r>
        <w:rPr>
          <w:rFonts w:hint="eastAsia" w:ascii="仿宋" w:hAnsi="仿宋" w:eastAsia="仿宋" w:cs="仿宋"/>
          <w:b w:val="0"/>
          <w:bCs/>
          <w:kern w:val="0"/>
          <w:sz w:val="24"/>
          <w:highlight w:val="none"/>
        </w:rPr>
        <w:t>投标人具有国家认可的信誉机构颁发的守信用证明，例如：国家工商局、银行等；</w:t>
      </w:r>
    </w:p>
    <w:p w14:paraId="5ED52FD3">
      <w:pPr>
        <w:numPr>
          <w:ilvl w:val="0"/>
          <w:numId w:val="11"/>
        </w:numPr>
        <w:shd w:val="clear"/>
        <w:tabs>
          <w:tab w:val="left" w:pos="420"/>
        </w:tabs>
        <w:spacing w:line="360" w:lineRule="auto"/>
        <w:ind w:hanging="5"/>
        <w:rPr>
          <w:rFonts w:hint="eastAsia" w:ascii="仿宋" w:hAnsi="仿宋" w:eastAsia="仿宋" w:cs="仿宋"/>
          <w:b w:val="0"/>
          <w:bCs/>
          <w:kern w:val="0"/>
          <w:sz w:val="24"/>
          <w:highlight w:val="none"/>
        </w:rPr>
      </w:pPr>
      <w:r>
        <w:rPr>
          <w:rFonts w:hint="eastAsia" w:ascii="仿宋" w:hAnsi="仿宋" w:eastAsia="仿宋" w:cs="仿宋"/>
          <w:b w:val="0"/>
          <w:bCs/>
          <w:kern w:val="0"/>
          <w:sz w:val="24"/>
          <w:highlight w:val="none"/>
          <w:lang w:eastAsia="zh-CN"/>
        </w:rPr>
        <w:t>自投标截止之日起倒算36个月内</w:t>
      </w:r>
      <w:r>
        <w:rPr>
          <w:rFonts w:hint="eastAsia" w:ascii="仿宋" w:hAnsi="仿宋" w:eastAsia="仿宋" w:cs="仿宋"/>
          <w:b w:val="0"/>
          <w:bCs/>
          <w:kern w:val="0"/>
          <w:sz w:val="24"/>
          <w:highlight w:val="none"/>
        </w:rPr>
        <w:t>无重大违法记录承诺书</w:t>
      </w:r>
      <w:r>
        <w:rPr>
          <w:rFonts w:hint="eastAsia" w:ascii="仿宋" w:hAnsi="仿宋" w:eastAsia="仿宋" w:cs="仿宋"/>
          <w:b w:val="0"/>
          <w:bCs/>
          <w:kern w:val="0"/>
          <w:sz w:val="24"/>
          <w:highlight w:val="none"/>
          <w:lang w:eastAsia="zh-CN"/>
        </w:rPr>
        <w:t>（</w:t>
      </w:r>
      <w:r>
        <w:rPr>
          <w:rFonts w:hint="eastAsia" w:ascii="仿宋" w:hAnsi="仿宋" w:eastAsia="仿宋" w:cs="仿宋"/>
          <w:b w:val="0"/>
          <w:bCs/>
          <w:kern w:val="0"/>
          <w:sz w:val="24"/>
          <w:highlight w:val="none"/>
          <w:lang w:val="en-US" w:eastAsia="zh-CN"/>
        </w:rPr>
        <w:t>附件10</w:t>
      </w:r>
      <w:r>
        <w:rPr>
          <w:rFonts w:hint="eastAsia" w:ascii="仿宋" w:hAnsi="仿宋" w:eastAsia="仿宋" w:cs="仿宋"/>
          <w:b w:val="0"/>
          <w:bCs/>
          <w:kern w:val="0"/>
          <w:sz w:val="24"/>
          <w:highlight w:val="none"/>
          <w:lang w:eastAsia="zh-CN"/>
        </w:rPr>
        <w:t>）</w:t>
      </w:r>
      <w:r>
        <w:rPr>
          <w:rFonts w:hint="eastAsia" w:ascii="仿宋" w:hAnsi="仿宋" w:eastAsia="仿宋" w:cs="仿宋"/>
          <w:b w:val="0"/>
          <w:bCs/>
          <w:kern w:val="0"/>
          <w:sz w:val="24"/>
          <w:highlight w:val="none"/>
        </w:rPr>
        <w:t>；</w:t>
      </w:r>
    </w:p>
    <w:p w14:paraId="7E078257">
      <w:pPr>
        <w:numPr>
          <w:ilvl w:val="0"/>
          <w:numId w:val="11"/>
        </w:numPr>
        <w:shd w:val="clear"/>
        <w:tabs>
          <w:tab w:val="left" w:pos="420"/>
        </w:tabs>
        <w:spacing w:line="360" w:lineRule="auto"/>
        <w:ind w:hanging="5"/>
        <w:rPr>
          <w:rFonts w:hint="eastAsia" w:ascii="仿宋" w:hAnsi="仿宋" w:eastAsia="仿宋" w:cs="仿宋"/>
          <w:b w:val="0"/>
          <w:bCs/>
          <w:kern w:val="0"/>
          <w:sz w:val="24"/>
          <w:highlight w:val="none"/>
        </w:rPr>
      </w:pPr>
      <w:r>
        <w:rPr>
          <w:rFonts w:hint="eastAsia" w:ascii="仿宋" w:hAnsi="仿宋" w:eastAsia="仿宋" w:cs="仿宋"/>
          <w:b w:val="0"/>
          <w:bCs/>
          <w:kern w:val="0"/>
          <w:sz w:val="24"/>
          <w:highlight w:val="none"/>
        </w:rPr>
        <w:t>三级及以上医院</w:t>
      </w:r>
      <w:r>
        <w:rPr>
          <w:rFonts w:hint="eastAsia" w:ascii="仿宋" w:hAnsi="仿宋" w:eastAsia="仿宋" w:cs="仿宋"/>
          <w:b w:val="0"/>
          <w:bCs/>
          <w:kern w:val="0"/>
          <w:sz w:val="24"/>
          <w:highlight w:val="none"/>
          <w:lang w:eastAsia="zh-CN"/>
        </w:rPr>
        <w:t>医保智能审核和DRG精细化管理系统</w:t>
      </w:r>
      <w:r>
        <w:rPr>
          <w:rFonts w:hint="eastAsia" w:ascii="仿宋" w:hAnsi="仿宋" w:eastAsia="仿宋" w:cs="仿宋"/>
          <w:b w:val="0"/>
          <w:bCs/>
          <w:kern w:val="0"/>
          <w:sz w:val="24"/>
          <w:highlight w:val="none"/>
        </w:rPr>
        <w:t>实施案例（</w:t>
      </w:r>
      <w:r>
        <w:rPr>
          <w:rFonts w:hint="eastAsia" w:ascii="仿宋" w:hAnsi="仿宋" w:eastAsia="仿宋" w:cs="仿宋"/>
          <w:b w:val="0"/>
          <w:bCs/>
          <w:kern w:val="0"/>
          <w:sz w:val="24"/>
          <w:highlight w:val="none"/>
          <w:lang w:val="en-US" w:eastAsia="zh-CN"/>
        </w:rPr>
        <w:t>2024年1月1日以后，</w:t>
      </w:r>
      <w:r>
        <w:rPr>
          <w:rFonts w:hint="eastAsia" w:ascii="仿宋" w:hAnsi="仿宋" w:eastAsia="仿宋" w:cs="仿宋"/>
          <w:b w:val="0"/>
          <w:bCs/>
          <w:kern w:val="0"/>
          <w:sz w:val="24"/>
          <w:highlight w:val="none"/>
        </w:rPr>
        <w:t>合同复印件或中标通知书）；</w:t>
      </w:r>
    </w:p>
    <w:p w14:paraId="227B66D0">
      <w:pPr>
        <w:numPr>
          <w:ilvl w:val="-1"/>
          <w:numId w:val="0"/>
        </w:numPr>
        <w:shd w:val="clear"/>
        <w:tabs>
          <w:tab w:val="left" w:pos="840"/>
        </w:tabs>
        <w:spacing w:line="360" w:lineRule="auto"/>
        <w:ind w:left="840" w:firstLine="0" w:firstLineChars="0"/>
        <w:rPr>
          <w:rFonts w:hint="eastAsia" w:ascii="仿宋" w:hAnsi="仿宋" w:eastAsia="仿宋" w:cs="仿宋"/>
          <w:bCs/>
          <w:kern w:val="0"/>
          <w:sz w:val="24"/>
          <w:highlight w:val="none"/>
        </w:rPr>
      </w:pPr>
      <w:r>
        <w:rPr>
          <w:rFonts w:hint="eastAsia" w:ascii="仿宋" w:hAnsi="仿宋" w:eastAsia="仿宋" w:cs="仿宋"/>
          <w:b w:val="0"/>
          <w:bCs/>
          <w:kern w:val="0"/>
          <w:sz w:val="24"/>
          <w:highlight w:val="none"/>
          <w:lang w:val="en-US" w:eastAsia="zh-CN"/>
        </w:rPr>
        <w:t>注：</w:t>
      </w:r>
      <w:r>
        <w:rPr>
          <w:rFonts w:hint="eastAsia" w:ascii="仿宋" w:hAnsi="仿宋" w:eastAsia="仿宋" w:cs="仿宋"/>
          <w:bCs/>
          <w:kern w:val="0"/>
          <w:sz w:val="24"/>
          <w:highlight w:val="none"/>
        </w:rPr>
        <w:t>若投标人响应，需分别提供对应系统</w:t>
      </w:r>
      <w:r>
        <w:rPr>
          <w:rFonts w:hint="eastAsia" w:ascii="仿宋" w:hAnsi="仿宋" w:eastAsia="仿宋" w:cs="仿宋"/>
          <w:bCs/>
          <w:kern w:val="0"/>
          <w:sz w:val="24"/>
          <w:highlight w:val="none"/>
          <w:lang w:eastAsia="zh-CN"/>
        </w:rPr>
        <w:t>（</w:t>
      </w:r>
      <w:r>
        <w:rPr>
          <w:rFonts w:hint="eastAsia" w:ascii="仿宋" w:hAnsi="仿宋" w:eastAsia="仿宋" w:cs="仿宋"/>
          <w:color w:val="000000"/>
          <w:kern w:val="0"/>
          <w:sz w:val="24"/>
          <w:highlight w:val="none"/>
        </w:rPr>
        <w:t>DRG精细化管理系统、医保智能审核系统</w:t>
      </w:r>
      <w:r>
        <w:rPr>
          <w:rFonts w:hint="eastAsia" w:ascii="仿宋" w:hAnsi="仿宋" w:eastAsia="仿宋" w:cs="仿宋"/>
          <w:bCs/>
          <w:kern w:val="0"/>
          <w:sz w:val="24"/>
          <w:highlight w:val="none"/>
          <w:lang w:eastAsia="zh-CN"/>
        </w:rPr>
        <w:t>）</w:t>
      </w:r>
      <w:r>
        <w:rPr>
          <w:rFonts w:hint="eastAsia" w:ascii="仿宋" w:hAnsi="仿宋" w:eastAsia="仿宋" w:cs="仿宋"/>
          <w:bCs/>
          <w:kern w:val="0"/>
          <w:sz w:val="24"/>
          <w:highlight w:val="none"/>
        </w:rPr>
        <w:t>的三级及以上医院同类实施案例。</w:t>
      </w:r>
    </w:p>
    <w:p w14:paraId="1097509A">
      <w:pPr>
        <w:numPr>
          <w:ilvl w:val="-1"/>
          <w:numId w:val="0"/>
        </w:numPr>
        <w:shd w:val="clear"/>
        <w:tabs>
          <w:tab w:val="left" w:pos="840"/>
        </w:tabs>
        <w:spacing w:line="360" w:lineRule="auto"/>
        <w:ind w:left="840" w:firstLine="0" w:firstLineChars="0"/>
        <w:rPr>
          <w:rFonts w:hint="eastAsia" w:ascii="仿宋" w:hAnsi="仿宋" w:eastAsia="仿宋" w:cs="仿宋"/>
          <w:bCs/>
          <w:kern w:val="0"/>
          <w:sz w:val="24"/>
          <w:highlight w:val="none"/>
          <w:lang w:val="en-US" w:eastAsia="zh-CN"/>
        </w:rPr>
      </w:pPr>
      <w:r>
        <w:rPr>
          <w:rFonts w:hint="eastAsia" w:ascii="仿宋" w:hAnsi="仿宋" w:eastAsia="仿宋" w:cs="仿宋"/>
          <w:bCs/>
          <w:kern w:val="0"/>
          <w:sz w:val="24"/>
          <w:highlight w:val="none"/>
          <w:lang w:val="en-US" w:eastAsia="zh-CN"/>
        </w:rPr>
        <w:t>若案例同时包含两个系统，请在案例标题处写明。</w:t>
      </w:r>
    </w:p>
    <w:p w14:paraId="09D6B932">
      <w:pPr>
        <w:numPr>
          <w:ilvl w:val="-1"/>
          <w:numId w:val="0"/>
        </w:numPr>
        <w:shd w:val="clear"/>
        <w:tabs>
          <w:tab w:val="left" w:pos="840"/>
        </w:tabs>
        <w:spacing w:line="360" w:lineRule="auto"/>
        <w:ind w:left="840" w:firstLine="0" w:firstLineChars="0"/>
        <w:rPr>
          <w:rFonts w:hint="default" w:ascii="仿宋" w:hAnsi="仿宋" w:eastAsia="仿宋" w:cs="仿宋"/>
          <w:bCs/>
          <w:kern w:val="0"/>
          <w:sz w:val="24"/>
          <w:highlight w:val="none"/>
          <w:lang w:val="en-US" w:eastAsia="zh-CN"/>
        </w:rPr>
      </w:pPr>
      <w:r>
        <w:rPr>
          <w:rFonts w:hint="eastAsia" w:ascii="仿宋" w:hAnsi="仿宋" w:eastAsia="仿宋" w:cs="仿宋"/>
          <w:bCs/>
          <w:kern w:val="0"/>
          <w:sz w:val="24"/>
          <w:highlight w:val="none"/>
          <w:lang w:val="en-US" w:eastAsia="zh-CN"/>
        </w:rPr>
        <w:t>（例如：案例一XXXX医院：（响应采购包1、2））</w:t>
      </w:r>
    </w:p>
    <w:p w14:paraId="13E2F667">
      <w:pPr>
        <w:numPr>
          <w:ilvl w:val="0"/>
          <w:numId w:val="11"/>
        </w:numPr>
        <w:shd w:val="clear"/>
        <w:tabs>
          <w:tab w:val="left" w:pos="420"/>
        </w:tabs>
        <w:spacing w:line="360" w:lineRule="auto"/>
        <w:ind w:hanging="5"/>
        <w:rPr>
          <w:rFonts w:hint="eastAsia" w:ascii="仿宋" w:hAnsi="仿宋" w:eastAsia="仿宋" w:cs="仿宋"/>
          <w:b w:val="0"/>
          <w:bCs/>
          <w:kern w:val="0"/>
          <w:sz w:val="24"/>
          <w:highlight w:val="none"/>
        </w:rPr>
      </w:pPr>
      <w:r>
        <w:rPr>
          <w:rFonts w:hint="eastAsia" w:ascii="仿宋" w:hAnsi="仿宋" w:eastAsia="仿宋" w:cs="仿宋"/>
          <w:b w:val="0"/>
          <w:bCs/>
          <w:kern w:val="0"/>
          <w:sz w:val="24"/>
          <w:highlight w:val="none"/>
        </w:rPr>
        <w:t>投标人所投软件产品必须拥有产品的自主知识产权，并提供</w:t>
      </w:r>
      <w:r>
        <w:rPr>
          <w:rFonts w:hint="eastAsia" w:ascii="仿宋" w:hAnsi="仿宋" w:eastAsia="仿宋" w:cs="仿宋"/>
          <w:b w:val="0"/>
          <w:bCs/>
          <w:kern w:val="0"/>
          <w:sz w:val="24"/>
          <w:highlight w:val="none"/>
          <w:lang w:val="en-US" w:eastAsia="zh-CN"/>
        </w:rPr>
        <w:t>相应</w:t>
      </w:r>
      <w:r>
        <w:rPr>
          <w:rFonts w:hint="eastAsia" w:ascii="仿宋" w:hAnsi="仿宋" w:eastAsia="仿宋" w:cs="仿宋"/>
          <w:b w:val="0"/>
          <w:bCs/>
          <w:kern w:val="0"/>
          <w:sz w:val="24"/>
          <w:highlight w:val="none"/>
        </w:rPr>
        <w:t>软件产品著作权证书；</w:t>
      </w:r>
    </w:p>
    <w:p w14:paraId="1995BC5D">
      <w:pPr>
        <w:numPr>
          <w:ilvl w:val="0"/>
          <w:numId w:val="11"/>
        </w:numPr>
        <w:shd w:val="clear"/>
        <w:tabs>
          <w:tab w:val="left" w:pos="420"/>
        </w:tabs>
        <w:spacing w:line="360" w:lineRule="auto"/>
        <w:ind w:hanging="5"/>
        <w:rPr>
          <w:rFonts w:hint="eastAsia" w:ascii="仿宋" w:hAnsi="仿宋" w:eastAsia="仿宋" w:cs="仿宋"/>
          <w:b w:val="0"/>
          <w:bCs/>
          <w:color w:val="000000"/>
          <w:kern w:val="0"/>
          <w:sz w:val="24"/>
          <w:highlight w:val="none"/>
        </w:rPr>
      </w:pPr>
      <w:r>
        <w:rPr>
          <w:rFonts w:hint="eastAsia" w:ascii="仿宋" w:hAnsi="仿宋" w:eastAsia="仿宋" w:cs="仿宋"/>
          <w:b w:val="0"/>
          <w:bCs/>
          <w:kern w:val="0"/>
          <w:sz w:val="24"/>
          <w:highlight w:val="none"/>
        </w:rPr>
        <w:t>联络人身份证复印件及社保证明</w:t>
      </w:r>
      <w:r>
        <w:rPr>
          <w:rFonts w:hint="eastAsia" w:ascii="仿宋" w:hAnsi="仿宋" w:eastAsia="仿宋" w:cs="仿宋"/>
          <w:b w:val="0"/>
          <w:bCs/>
          <w:color w:val="000000"/>
          <w:kern w:val="0"/>
          <w:sz w:val="24"/>
          <w:highlight w:val="none"/>
          <w:lang w:eastAsia="zh-CN"/>
        </w:rPr>
        <w:t>；</w:t>
      </w:r>
    </w:p>
    <w:p w14:paraId="4E69362D">
      <w:pPr>
        <w:numPr>
          <w:ilvl w:val="0"/>
          <w:numId w:val="11"/>
        </w:numPr>
        <w:shd w:val="clear"/>
        <w:tabs>
          <w:tab w:val="left" w:pos="420"/>
        </w:tabs>
        <w:spacing w:line="360" w:lineRule="auto"/>
        <w:ind w:hanging="5"/>
        <w:rPr>
          <w:rFonts w:hint="eastAsia" w:ascii="仿宋" w:hAnsi="仿宋" w:eastAsia="仿宋" w:cs="仿宋"/>
          <w:b w:val="0"/>
          <w:bCs/>
          <w:color w:val="000000"/>
          <w:kern w:val="0"/>
          <w:sz w:val="24"/>
          <w:highlight w:val="none"/>
        </w:rPr>
      </w:pPr>
      <w:r>
        <w:rPr>
          <w:rFonts w:hint="eastAsia" w:ascii="仿宋" w:hAnsi="仿宋" w:eastAsia="仿宋" w:cs="仿宋"/>
          <w:bCs/>
          <w:color w:val="000000"/>
          <w:kern w:val="0"/>
          <w:sz w:val="24"/>
          <w:highlight w:val="none"/>
        </w:rPr>
        <w:t>投标人基本情况表</w:t>
      </w:r>
      <w:r>
        <w:rPr>
          <w:rFonts w:hint="eastAsia" w:ascii="仿宋" w:hAnsi="仿宋" w:eastAsia="仿宋" w:cs="仿宋"/>
          <w:bCs/>
          <w:color w:val="000000"/>
          <w:kern w:val="0"/>
          <w:sz w:val="24"/>
          <w:highlight w:val="none"/>
          <w:lang w:eastAsia="zh-CN"/>
        </w:rPr>
        <w:t>（</w:t>
      </w:r>
      <w:r>
        <w:rPr>
          <w:rFonts w:hint="eastAsia" w:ascii="仿宋" w:hAnsi="仿宋" w:eastAsia="仿宋" w:cs="仿宋"/>
          <w:sz w:val="24"/>
          <w:highlight w:val="none"/>
          <w:lang w:val="en-US" w:eastAsia="zh-CN"/>
        </w:rPr>
        <w:t>附件13</w:t>
      </w:r>
      <w:r>
        <w:rPr>
          <w:rFonts w:hint="eastAsia" w:ascii="仿宋" w:hAnsi="仿宋" w:eastAsia="仿宋" w:cs="仿宋"/>
          <w:bCs/>
          <w:color w:val="000000"/>
          <w:kern w:val="0"/>
          <w:sz w:val="24"/>
          <w:highlight w:val="none"/>
          <w:lang w:eastAsia="zh-CN"/>
        </w:rPr>
        <w:t>）；</w:t>
      </w:r>
    </w:p>
    <w:p w14:paraId="111BC932">
      <w:pPr>
        <w:numPr>
          <w:ilvl w:val="0"/>
          <w:numId w:val="11"/>
        </w:numPr>
        <w:shd w:val="clear"/>
        <w:tabs>
          <w:tab w:val="left" w:pos="420"/>
        </w:tabs>
        <w:spacing w:line="360" w:lineRule="auto"/>
        <w:ind w:hanging="5"/>
        <w:rPr>
          <w:rFonts w:hint="eastAsia" w:ascii="仿宋" w:hAnsi="仿宋" w:eastAsia="仿宋" w:cs="仿宋"/>
          <w:b w:val="0"/>
          <w:bCs/>
          <w:color w:val="000000"/>
          <w:kern w:val="0"/>
          <w:sz w:val="24"/>
          <w:highlight w:val="none"/>
        </w:rPr>
      </w:pPr>
      <w:r>
        <w:rPr>
          <w:rFonts w:hint="eastAsia" w:ascii="仿宋" w:hAnsi="仿宋" w:eastAsia="仿宋" w:cs="仿宋"/>
          <w:bCs/>
          <w:sz w:val="24"/>
          <w:szCs w:val="24"/>
          <w:highlight w:val="none"/>
        </w:rPr>
        <w:t>项目经理</w:t>
      </w:r>
      <w:r>
        <w:rPr>
          <w:rFonts w:hint="eastAsia" w:ascii="仿宋" w:hAnsi="仿宋" w:eastAsia="仿宋" w:cs="仿宋"/>
          <w:bCs/>
          <w:sz w:val="24"/>
          <w:szCs w:val="24"/>
          <w:highlight w:val="none"/>
          <w:lang w:val="en-US" w:eastAsia="zh-CN"/>
        </w:rPr>
        <w:t>及团队介绍</w:t>
      </w:r>
      <w:r>
        <w:rPr>
          <w:rFonts w:hint="eastAsia" w:ascii="仿宋" w:hAnsi="仿宋" w:eastAsia="仿宋" w:cs="仿宋"/>
          <w:bCs/>
          <w:sz w:val="24"/>
          <w:szCs w:val="24"/>
          <w:highlight w:val="none"/>
        </w:rPr>
        <w:t>（水平、资质、实施DRG的案例医院）</w:t>
      </w:r>
      <w:r>
        <w:rPr>
          <w:rFonts w:hint="eastAsia" w:ascii="仿宋" w:hAnsi="仿宋" w:eastAsia="仿宋" w:cs="仿宋"/>
          <w:bCs/>
          <w:sz w:val="24"/>
          <w:szCs w:val="24"/>
          <w:highlight w:val="none"/>
          <w:lang w:eastAsia="zh-CN"/>
        </w:rPr>
        <w:t>；</w:t>
      </w:r>
    </w:p>
    <w:p w14:paraId="2E261C59">
      <w:pPr>
        <w:numPr>
          <w:ilvl w:val="0"/>
          <w:numId w:val="11"/>
        </w:numPr>
        <w:shd w:val="clear"/>
        <w:tabs>
          <w:tab w:val="left" w:pos="420"/>
        </w:tabs>
        <w:spacing w:line="360" w:lineRule="auto"/>
        <w:ind w:hanging="5"/>
        <w:rPr>
          <w:rFonts w:hint="eastAsia" w:ascii="仿宋" w:hAnsi="仿宋" w:eastAsia="仿宋" w:cs="仿宋"/>
          <w:b w:val="0"/>
          <w:bCs/>
          <w:color w:val="000000"/>
          <w:kern w:val="0"/>
          <w:sz w:val="24"/>
          <w:highlight w:val="none"/>
        </w:rPr>
      </w:pPr>
      <w:r>
        <w:rPr>
          <w:rFonts w:hint="eastAsia" w:ascii="仿宋" w:hAnsi="仿宋" w:eastAsia="仿宋" w:cs="仿宋"/>
          <w:b w:val="0"/>
          <w:bCs/>
          <w:color w:val="000000"/>
          <w:kern w:val="0"/>
          <w:sz w:val="24"/>
          <w:highlight w:val="none"/>
          <w:lang w:val="en-US" w:eastAsia="zh-CN"/>
        </w:rPr>
        <w:t>标书书面疑问文件（若有）。</w:t>
      </w:r>
    </w:p>
    <w:p w14:paraId="3B15E617">
      <w:pPr>
        <w:numPr>
          <w:ilvl w:val="1"/>
          <w:numId w:val="8"/>
        </w:numPr>
        <w:shd w:val="clear"/>
        <w:spacing w:line="360" w:lineRule="auto"/>
        <w:ind w:left="567" w:leftChars="0" w:hanging="567"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商务文件部分应包括：</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格式参见附件2-5、7</w:t>
      </w:r>
      <w:r>
        <w:rPr>
          <w:rFonts w:hint="eastAsia" w:ascii="仿宋" w:hAnsi="仿宋" w:eastAsia="仿宋" w:cs="仿宋"/>
          <w:color w:val="000000"/>
          <w:kern w:val="0"/>
          <w:sz w:val="24"/>
          <w:highlight w:val="none"/>
          <w:lang w:eastAsia="zh-CN"/>
        </w:rPr>
        <w:t>）</w:t>
      </w:r>
    </w:p>
    <w:p w14:paraId="575408FE">
      <w:pPr>
        <w:numPr>
          <w:ilvl w:val="0"/>
          <w:numId w:val="12"/>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商务</w:t>
      </w:r>
      <w:r>
        <w:rPr>
          <w:rFonts w:hint="eastAsia" w:ascii="仿宋" w:hAnsi="仿宋" w:eastAsia="仿宋" w:cs="仿宋"/>
          <w:b w:val="0"/>
          <w:bCs/>
          <w:kern w:val="0"/>
          <w:sz w:val="24"/>
          <w:highlight w:val="none"/>
          <w:lang w:val="en-US" w:eastAsia="zh-CN"/>
        </w:rPr>
        <w:t>文件目录；</w:t>
      </w:r>
    </w:p>
    <w:p w14:paraId="6C1BDA27">
      <w:pPr>
        <w:numPr>
          <w:ilvl w:val="0"/>
          <w:numId w:val="12"/>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招标文件答疑确认函</w:t>
      </w:r>
      <w:r>
        <w:rPr>
          <w:rFonts w:hint="eastAsia" w:ascii="仿宋" w:hAnsi="仿宋" w:eastAsia="仿宋" w:cs="仿宋"/>
          <w:color w:val="000000"/>
          <w:kern w:val="0"/>
          <w:sz w:val="24"/>
          <w:highlight w:val="none"/>
          <w:lang w:eastAsia="zh-CN"/>
        </w:rPr>
        <w:t>；</w:t>
      </w:r>
    </w:p>
    <w:p w14:paraId="4084A2E1">
      <w:pPr>
        <w:numPr>
          <w:ilvl w:val="0"/>
          <w:numId w:val="12"/>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投标声明函、投标确认书、投标响应确认函；</w:t>
      </w:r>
    </w:p>
    <w:p w14:paraId="7D264D84">
      <w:pPr>
        <w:numPr>
          <w:ilvl w:val="0"/>
          <w:numId w:val="12"/>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报价函；</w:t>
      </w:r>
    </w:p>
    <w:p w14:paraId="1605EF93">
      <w:pPr>
        <w:numPr>
          <w:ilvl w:val="0"/>
          <w:numId w:val="12"/>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报价表；</w:t>
      </w:r>
    </w:p>
    <w:p w14:paraId="3CB95B61">
      <w:pPr>
        <w:numPr>
          <w:ilvl w:val="0"/>
          <w:numId w:val="12"/>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商务条款偏离表；</w:t>
      </w:r>
    </w:p>
    <w:p w14:paraId="4706DFE8">
      <w:pPr>
        <w:numPr>
          <w:ilvl w:val="0"/>
          <w:numId w:val="12"/>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付款方式响应说明（需符合合同主要条款</w:t>
      </w:r>
      <w:r>
        <w:rPr>
          <w:rFonts w:hint="eastAsia" w:ascii="仿宋" w:hAnsi="仿宋" w:eastAsia="仿宋" w:cs="仿宋"/>
          <w:color w:val="000000"/>
          <w:kern w:val="0"/>
          <w:sz w:val="24"/>
          <w:highlight w:val="none"/>
          <w:lang w:val="en-US" w:eastAsia="zh-CN"/>
        </w:rPr>
        <w:t>第二章第5项</w:t>
      </w:r>
      <w:r>
        <w:rPr>
          <w:rFonts w:hint="eastAsia" w:ascii="仿宋" w:hAnsi="仿宋" w:eastAsia="仿宋" w:cs="仿宋"/>
          <w:color w:val="000000"/>
          <w:kern w:val="0"/>
          <w:sz w:val="24"/>
          <w:highlight w:val="none"/>
        </w:rPr>
        <w:t>）</w:t>
      </w:r>
      <w:r>
        <w:rPr>
          <w:rFonts w:hint="eastAsia" w:ascii="仿宋" w:hAnsi="仿宋" w:eastAsia="仿宋" w:cs="仿宋"/>
          <w:color w:val="000000"/>
          <w:kern w:val="0"/>
          <w:sz w:val="24"/>
          <w:highlight w:val="none"/>
          <w:lang w:eastAsia="zh-CN"/>
        </w:rPr>
        <w:t>；</w:t>
      </w:r>
    </w:p>
    <w:p w14:paraId="0D494ED4">
      <w:pPr>
        <w:numPr>
          <w:ilvl w:val="0"/>
          <w:numId w:val="12"/>
        </w:numPr>
        <w:shd w:val="clear"/>
        <w:spacing w:line="360" w:lineRule="auto"/>
        <w:ind w:hanging="5"/>
        <w:rPr>
          <w:rFonts w:hint="eastAsia" w:ascii="仿宋" w:hAnsi="仿宋" w:eastAsia="仿宋" w:cs="仿宋"/>
          <w:color w:val="000000"/>
          <w:kern w:val="0"/>
          <w:sz w:val="24"/>
          <w:highlight w:val="yellow"/>
        </w:rPr>
      </w:pPr>
      <w:r>
        <w:rPr>
          <w:rFonts w:hint="eastAsia" w:ascii="仿宋" w:hAnsi="仿宋" w:eastAsia="仿宋" w:cs="仿宋"/>
          <w:color w:val="000000"/>
          <w:kern w:val="0"/>
          <w:sz w:val="24"/>
          <w:highlight w:val="yellow"/>
          <w:lang w:val="en-US" w:eastAsia="zh-CN"/>
        </w:rPr>
        <w:t>其余补充文件（例如评标标准要求的：企业认证、合作经验、增值服务等）。</w:t>
      </w:r>
    </w:p>
    <w:p w14:paraId="70035C2F">
      <w:pPr>
        <w:numPr>
          <w:ilvl w:val="1"/>
          <w:numId w:val="8"/>
        </w:numPr>
        <w:shd w:val="clear"/>
        <w:spacing w:line="360" w:lineRule="auto"/>
        <w:ind w:left="567" w:leftChars="0" w:hanging="567"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技术文件部分应包括：（按第三章技术要求格式填写）</w:t>
      </w:r>
    </w:p>
    <w:p w14:paraId="7AD2B515">
      <w:pPr>
        <w:numPr>
          <w:ilvl w:val="0"/>
          <w:numId w:val="13"/>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b w:val="0"/>
          <w:bCs/>
          <w:kern w:val="0"/>
          <w:sz w:val="24"/>
          <w:highlight w:val="none"/>
          <w:lang w:val="en-US" w:eastAsia="zh-CN"/>
        </w:rPr>
        <w:t>技术文件目录；</w:t>
      </w:r>
    </w:p>
    <w:p w14:paraId="2E8F6842">
      <w:pPr>
        <w:numPr>
          <w:ilvl w:val="0"/>
          <w:numId w:val="13"/>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技术规格偏离表</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附件6</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w:t>
      </w:r>
    </w:p>
    <w:p w14:paraId="49BC07B0">
      <w:pPr>
        <w:numPr>
          <w:ilvl w:val="0"/>
          <w:numId w:val="13"/>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系统功能清单（含产品注册证产品名称、系统模块等）；</w:t>
      </w:r>
    </w:p>
    <w:p w14:paraId="245A943C">
      <w:pPr>
        <w:numPr>
          <w:ilvl w:val="0"/>
          <w:numId w:val="13"/>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提供投标产品介绍、详细模块功能列表</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需分别列示DRG精细化管理系统、医保智能审核系统的独立功能清单，不得合并表述；</w:t>
      </w:r>
    </w:p>
    <w:p w14:paraId="7ED8DC89">
      <w:pPr>
        <w:numPr>
          <w:ilvl w:val="0"/>
          <w:numId w:val="13"/>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系统建设方案（含功能设计、对接流程、安全设计）</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附件8</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w:t>
      </w:r>
    </w:p>
    <w:p w14:paraId="63D45433">
      <w:pPr>
        <w:numPr>
          <w:ilvl w:val="0"/>
          <w:numId w:val="13"/>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实施计划与工期安排</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附件8</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w:t>
      </w:r>
    </w:p>
    <w:p w14:paraId="2272DB99">
      <w:pPr>
        <w:numPr>
          <w:ilvl w:val="0"/>
          <w:numId w:val="13"/>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测试与验收方案</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附件8</w:t>
      </w:r>
      <w:r>
        <w:rPr>
          <w:rFonts w:hint="eastAsia" w:ascii="仿宋" w:hAnsi="仿宋" w:eastAsia="仿宋" w:cs="仿宋"/>
          <w:color w:val="000000"/>
          <w:kern w:val="0"/>
          <w:sz w:val="24"/>
          <w:highlight w:val="none"/>
          <w:lang w:eastAsia="zh-CN"/>
        </w:rPr>
        <w:t>）；</w:t>
      </w:r>
    </w:p>
    <w:p w14:paraId="16E6BC00">
      <w:pPr>
        <w:numPr>
          <w:ilvl w:val="0"/>
          <w:numId w:val="13"/>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运维保障方案</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附件8</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w:t>
      </w:r>
    </w:p>
    <w:p w14:paraId="7D9FCDCA">
      <w:pPr>
        <w:numPr>
          <w:ilvl w:val="1"/>
          <w:numId w:val="8"/>
        </w:numPr>
        <w:shd w:val="clear"/>
        <w:spacing w:line="360" w:lineRule="auto"/>
        <w:ind w:left="567" w:leftChars="0" w:hanging="567" w:firstLineChars="0"/>
        <w:rPr>
          <w:rFonts w:hint="eastAsia" w:ascii="仿宋" w:hAnsi="仿宋" w:eastAsia="仿宋" w:cs="仿宋"/>
          <w:kern w:val="0"/>
          <w:sz w:val="24"/>
          <w:highlight w:val="none"/>
        </w:rPr>
      </w:pPr>
      <w:r>
        <w:rPr>
          <w:rFonts w:hint="eastAsia" w:ascii="仿宋" w:hAnsi="仿宋" w:eastAsia="仿宋" w:cs="仿宋"/>
          <w:kern w:val="0"/>
          <w:sz w:val="24"/>
          <w:highlight w:val="none"/>
        </w:rPr>
        <w:t>售后文件部分应包括：</w:t>
      </w:r>
    </w:p>
    <w:p w14:paraId="30A9C907">
      <w:pPr>
        <w:numPr>
          <w:ilvl w:val="0"/>
          <w:numId w:val="14"/>
        </w:numPr>
        <w:shd w:val="clear"/>
        <w:spacing w:line="360" w:lineRule="auto"/>
        <w:ind w:leftChars="200" w:hanging="5"/>
        <w:rPr>
          <w:rFonts w:hint="eastAsia" w:ascii="仿宋" w:hAnsi="仿宋" w:eastAsia="仿宋" w:cs="仿宋"/>
          <w:kern w:val="0"/>
          <w:sz w:val="24"/>
          <w:highlight w:val="none"/>
        </w:rPr>
      </w:pPr>
      <w:r>
        <w:rPr>
          <w:rFonts w:hint="eastAsia" w:ascii="仿宋" w:hAnsi="仿宋" w:eastAsia="仿宋" w:cs="仿宋"/>
          <w:kern w:val="0"/>
          <w:sz w:val="24"/>
          <w:highlight w:val="none"/>
        </w:rPr>
        <w:t>服务承诺函（含响应时效、培训、升级服务）</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lang w:val="en-US" w:eastAsia="zh-CN"/>
        </w:rPr>
        <w:t>附件9</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w:t>
      </w:r>
    </w:p>
    <w:p w14:paraId="5580D0AA">
      <w:pPr>
        <w:numPr>
          <w:ilvl w:val="0"/>
          <w:numId w:val="14"/>
        </w:numPr>
        <w:shd w:val="clear"/>
        <w:spacing w:line="360" w:lineRule="auto"/>
        <w:ind w:leftChars="200" w:hanging="5"/>
        <w:rPr>
          <w:rFonts w:hint="eastAsia" w:ascii="仿宋" w:hAnsi="仿宋" w:eastAsia="仿宋" w:cs="仿宋"/>
          <w:kern w:val="0"/>
          <w:sz w:val="24"/>
          <w:highlight w:val="none"/>
        </w:rPr>
      </w:pPr>
      <w:r>
        <w:rPr>
          <w:rFonts w:hint="eastAsia" w:ascii="仿宋" w:hAnsi="仿宋" w:eastAsia="仿宋" w:cs="仿宋"/>
          <w:kern w:val="0"/>
          <w:sz w:val="24"/>
          <w:highlight w:val="none"/>
        </w:rPr>
        <w:t>本地化服务团队证明；</w:t>
      </w:r>
    </w:p>
    <w:p w14:paraId="66C751E1">
      <w:pPr>
        <w:numPr>
          <w:ilvl w:val="0"/>
          <w:numId w:val="14"/>
        </w:numPr>
        <w:shd w:val="clear"/>
        <w:spacing w:line="360" w:lineRule="auto"/>
        <w:ind w:leftChars="200" w:hanging="5"/>
        <w:rPr>
          <w:rFonts w:hint="eastAsia" w:ascii="仿宋" w:hAnsi="仿宋" w:eastAsia="仿宋" w:cs="仿宋"/>
          <w:color w:val="000000"/>
          <w:kern w:val="0"/>
          <w:sz w:val="24"/>
          <w:highlight w:val="none"/>
        </w:rPr>
      </w:pPr>
      <w:r>
        <w:rPr>
          <w:rFonts w:hint="eastAsia" w:ascii="仿宋" w:hAnsi="仿宋" w:eastAsia="仿宋" w:cs="仿宋"/>
          <w:kern w:val="0"/>
          <w:sz w:val="24"/>
          <w:highlight w:val="none"/>
        </w:rPr>
        <w:t>免费服务期及后续年费说明。</w:t>
      </w:r>
    </w:p>
    <w:p w14:paraId="05F24BA9">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93" w:name="_Toc24791"/>
      <w:bookmarkStart w:id="94" w:name="_Toc2504"/>
      <w:bookmarkStart w:id="95" w:name="_Toc31054"/>
      <w:bookmarkStart w:id="96" w:name="_Toc5621"/>
      <w:bookmarkStart w:id="97" w:name="_Toc26879"/>
      <w:bookmarkStart w:id="98" w:name="_Toc17522"/>
      <w:r>
        <w:rPr>
          <w:rFonts w:hint="eastAsia" w:ascii="仿宋" w:hAnsi="仿宋" w:eastAsia="仿宋" w:cs="仿宋"/>
          <w:b/>
          <w:kern w:val="0"/>
          <w:sz w:val="24"/>
          <w:highlight w:val="none"/>
        </w:rPr>
        <w:t>技术培训及要求</w:t>
      </w:r>
      <w:bookmarkEnd w:id="93"/>
      <w:bookmarkEnd w:id="94"/>
      <w:bookmarkEnd w:id="95"/>
      <w:bookmarkEnd w:id="96"/>
      <w:bookmarkEnd w:id="97"/>
      <w:bookmarkEnd w:id="98"/>
    </w:p>
    <w:p w14:paraId="3081B530">
      <w:pPr>
        <w:keepNext w:val="0"/>
        <w:keepLines w:val="0"/>
        <w:pageBreakBefore w:val="0"/>
        <w:numPr>
          <w:ilvl w:val="1"/>
          <w:numId w:val="15"/>
        </w:numPr>
        <w:shd w:val="clear"/>
        <w:kinsoku/>
        <w:wordWrap/>
        <w:overflowPunct/>
        <w:topLinePunct w:val="0"/>
        <w:autoSpaceDE/>
        <w:autoSpaceDN/>
        <w:bidi w:val="0"/>
        <w:adjustRightInd/>
        <w:snapToGrid/>
        <w:spacing w:line="360" w:lineRule="auto"/>
        <w:rPr>
          <w:rFonts w:hint="eastAsia" w:ascii="仿宋" w:hAnsi="仿宋" w:eastAsia="仿宋" w:cs="仿宋"/>
          <w:sz w:val="24"/>
          <w:highlight w:val="none"/>
        </w:rPr>
      </w:pPr>
      <w:r>
        <w:rPr>
          <w:rFonts w:hint="eastAsia" w:ascii="仿宋" w:hAnsi="仿宋" w:eastAsia="仿宋" w:cs="仿宋"/>
          <w:sz w:val="24"/>
          <w:highlight w:val="none"/>
        </w:rPr>
        <w:t>技术规格及要求：</w:t>
      </w:r>
    </w:p>
    <w:p w14:paraId="01816D40">
      <w:pPr>
        <w:keepNext w:val="0"/>
        <w:keepLines w:val="0"/>
        <w:pageBreakBefore w:val="0"/>
        <w:numPr>
          <w:ilvl w:val="0"/>
          <w:numId w:val="0"/>
        </w:numPr>
        <w:shd w:val="clear"/>
        <w:kinsoku/>
        <w:wordWrap/>
        <w:overflowPunct/>
        <w:topLinePunct w:val="0"/>
        <w:autoSpaceDE/>
        <w:autoSpaceDN/>
        <w:bidi w:val="0"/>
        <w:adjustRightInd/>
        <w:snapToGrid/>
        <w:spacing w:line="360" w:lineRule="auto"/>
        <w:ind w:leftChars="0"/>
        <w:rPr>
          <w:rFonts w:hint="eastAsia" w:ascii="仿宋" w:hAnsi="仿宋" w:eastAsia="仿宋" w:cs="仿宋"/>
          <w:sz w:val="24"/>
          <w:highlight w:val="none"/>
        </w:rPr>
      </w:pPr>
      <w:r>
        <w:rPr>
          <w:rFonts w:hint="eastAsia" w:ascii="仿宋" w:hAnsi="仿宋" w:eastAsia="仿宋" w:cs="仿宋"/>
          <w:sz w:val="24"/>
          <w:highlight w:val="none"/>
        </w:rPr>
        <w:t>投标人须严格对标第三章技术要求，确保培训内容覆盖系统全部功能与合规要求，无功能遗漏。</w:t>
      </w:r>
    </w:p>
    <w:tbl>
      <w:tblPr>
        <w:tblStyle w:val="19"/>
        <w:tblW w:w="92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74"/>
        <w:gridCol w:w="7891"/>
      </w:tblGrid>
      <w:tr w14:paraId="15B6C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DA1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类别</w:t>
            </w:r>
          </w:p>
        </w:tc>
        <w:tc>
          <w:tcPr>
            <w:tcW w:w="7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409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具体要求（包括但不限于）</w:t>
            </w:r>
          </w:p>
        </w:tc>
      </w:tr>
      <w:tr w14:paraId="2B613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top"/>
          </w:tcPr>
          <w:p w14:paraId="3FEBB9C1">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临床端培训</w:t>
            </w:r>
          </w:p>
        </w:tc>
        <w:tc>
          <w:tcPr>
            <w:tcW w:w="7891" w:type="dxa"/>
            <w:tcBorders>
              <w:top w:val="single" w:color="000000" w:sz="4" w:space="0"/>
              <w:left w:val="single" w:color="000000" w:sz="4" w:space="0"/>
              <w:bottom w:val="single" w:color="000000" w:sz="4" w:space="0"/>
              <w:right w:val="single" w:color="000000" w:sz="4" w:space="0"/>
            </w:tcBorders>
            <w:shd w:val="clear" w:color="auto" w:fill="auto"/>
            <w:vAlign w:val="top"/>
          </w:tcPr>
          <w:p w14:paraId="651C883F">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sz w:val="24"/>
                <w:highlight w:val="none"/>
                <w:vertAlign w:val="baseline"/>
              </w:rPr>
              <w:t>覆盖门诊/住院审核提醒、违规处置、场景审核、人工复核等所有临床操作功能，确保医师、护士熟练掌握弹窗处置、疑点反馈流程</w:t>
            </w:r>
          </w:p>
        </w:tc>
      </w:tr>
      <w:tr w14:paraId="61C80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top"/>
          </w:tcPr>
          <w:p w14:paraId="35D985D9">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管理端培训</w:t>
            </w:r>
          </w:p>
        </w:tc>
        <w:tc>
          <w:tcPr>
            <w:tcW w:w="7891" w:type="dxa"/>
            <w:tcBorders>
              <w:top w:val="single" w:color="000000" w:sz="4" w:space="0"/>
              <w:left w:val="single" w:color="000000" w:sz="4" w:space="0"/>
              <w:bottom w:val="single" w:color="000000" w:sz="4" w:space="0"/>
              <w:right w:val="single" w:color="000000" w:sz="4" w:space="0"/>
            </w:tcBorders>
            <w:shd w:val="clear" w:color="auto" w:fill="auto"/>
            <w:vAlign w:val="top"/>
          </w:tcPr>
          <w:p w14:paraId="4029B6D7">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sz w:val="24"/>
                <w:highlight w:val="none"/>
                <w:vertAlign w:val="baseline"/>
              </w:rPr>
              <w:t>覆盖规则配置、清单质控、DRG分组分析、运营报表统计等功能，确保医保办、病案科、信息科可独立完成系统配置与数据查询</w:t>
            </w:r>
          </w:p>
        </w:tc>
      </w:tr>
      <w:tr w14:paraId="5C3D1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top"/>
          </w:tcPr>
          <w:p w14:paraId="33EE154E">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合规培训</w:t>
            </w:r>
          </w:p>
        </w:tc>
        <w:tc>
          <w:tcPr>
            <w:tcW w:w="7891" w:type="dxa"/>
            <w:tcBorders>
              <w:top w:val="single" w:color="000000" w:sz="4" w:space="0"/>
              <w:left w:val="single" w:color="000000" w:sz="4" w:space="0"/>
              <w:bottom w:val="single" w:color="000000" w:sz="4" w:space="0"/>
              <w:right w:val="single" w:color="000000" w:sz="4" w:space="0"/>
            </w:tcBorders>
            <w:shd w:val="clear" w:color="auto" w:fill="auto"/>
            <w:vAlign w:val="top"/>
          </w:tcPr>
          <w:p w14:paraId="3ACD9489">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sz w:val="24"/>
                <w:highlight w:val="none"/>
                <w:vertAlign w:val="baseline"/>
              </w:rPr>
              <w:t>同步培训最新医保审核规则、DRG支付政策、飞检应对要点，确保参训人员理解系统逻辑与业务要求</w:t>
            </w:r>
          </w:p>
        </w:tc>
      </w:tr>
    </w:tbl>
    <w:p w14:paraId="4CCD473D">
      <w:pPr>
        <w:keepNext w:val="0"/>
        <w:keepLines w:val="0"/>
        <w:pageBreakBefore w:val="0"/>
        <w:numPr>
          <w:ilvl w:val="0"/>
          <w:numId w:val="0"/>
        </w:numPr>
        <w:shd w:val="clear"/>
        <w:kinsoku/>
        <w:wordWrap/>
        <w:overflowPunct/>
        <w:topLinePunct w:val="0"/>
        <w:autoSpaceDE/>
        <w:autoSpaceDN/>
        <w:bidi w:val="0"/>
        <w:adjustRightInd/>
        <w:snapToGrid/>
        <w:spacing w:line="360" w:lineRule="auto"/>
        <w:ind w:leftChars="0"/>
        <w:rPr>
          <w:rFonts w:hint="eastAsia" w:ascii="仿宋" w:hAnsi="仿宋" w:eastAsia="仿宋" w:cs="仿宋"/>
          <w:sz w:val="24"/>
          <w:szCs w:val="24"/>
          <w:highlight w:val="none"/>
        </w:rPr>
      </w:pPr>
    </w:p>
    <w:p w14:paraId="140A9CF4">
      <w:pPr>
        <w:keepNext w:val="0"/>
        <w:keepLines w:val="0"/>
        <w:pageBreakBefore w:val="0"/>
        <w:numPr>
          <w:ilvl w:val="1"/>
          <w:numId w:val="15"/>
        </w:numPr>
        <w:shd w:val="clear"/>
        <w:kinsoku/>
        <w:wordWrap/>
        <w:overflowPunct/>
        <w:topLinePunct w:val="0"/>
        <w:autoSpaceDE/>
        <w:autoSpaceDN/>
        <w:bidi w:val="0"/>
        <w:adjustRightInd/>
        <w:snapToGrid/>
        <w:spacing w:line="360" w:lineRule="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技术培训要求：</w:t>
      </w:r>
    </w:p>
    <w:p w14:paraId="0D895BB7">
      <w:pPr>
        <w:keepNext w:val="0"/>
        <w:keepLines w:val="0"/>
        <w:pageBreakBefore w:val="0"/>
        <w:widowControl/>
        <w:suppressLineNumbers w:val="0"/>
        <w:shd w:val="clear"/>
        <w:kinsoku/>
        <w:wordWrap/>
        <w:overflowPunct/>
        <w:topLinePunct w:val="0"/>
        <w:autoSpaceDE/>
        <w:autoSpaceDN/>
        <w:bidi w:val="0"/>
        <w:adjustRightInd/>
        <w:snapToGrid/>
        <w:spacing w:line="360" w:lineRule="auto"/>
        <w:jc w:val="left"/>
        <w:rPr>
          <w:rFonts w:hint="eastAsia" w:ascii="仿宋" w:hAnsi="仿宋" w:eastAsia="仿宋" w:cs="仿宋"/>
          <w:sz w:val="24"/>
          <w:szCs w:val="24"/>
          <w:highlight w:val="none"/>
        </w:rPr>
      </w:pPr>
      <w:r>
        <w:rPr>
          <w:rFonts w:hint="eastAsia" w:ascii="仿宋" w:hAnsi="仿宋" w:eastAsia="仿宋" w:cs="仿宋"/>
          <w:kern w:val="0"/>
          <w:sz w:val="24"/>
          <w:szCs w:val="24"/>
          <w:highlight w:val="none"/>
          <w:lang w:val="en-US" w:eastAsia="zh-CN" w:bidi="ar"/>
        </w:rPr>
        <w:t>投标人须提供分层分类、实操导向的培训，确保医院人员可独立使用与运维，所有培训不单独收费，包含在总报价中：</w:t>
      </w:r>
    </w:p>
    <w:tbl>
      <w:tblPr>
        <w:tblStyle w:val="19"/>
        <w:tblW w:w="92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55"/>
        <w:gridCol w:w="3876"/>
        <w:gridCol w:w="1275"/>
        <w:gridCol w:w="2380"/>
      </w:tblGrid>
      <w:tr w14:paraId="42F62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FE3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培训对象</w:t>
            </w:r>
          </w:p>
        </w:tc>
        <w:tc>
          <w:tcPr>
            <w:tcW w:w="3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C8F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培训内容（包括但不限于）</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740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时长</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C2F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交付成果</w:t>
            </w:r>
          </w:p>
        </w:tc>
      </w:tr>
      <w:tr w14:paraId="6EAE2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top"/>
          </w:tcPr>
          <w:p w14:paraId="0D08DE96">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临床医护（门诊/住院医师、护士）</w:t>
            </w:r>
          </w:p>
        </w:tc>
        <w:tc>
          <w:tcPr>
            <w:tcW w:w="3876" w:type="dxa"/>
            <w:tcBorders>
              <w:top w:val="single" w:color="000000" w:sz="4" w:space="0"/>
              <w:left w:val="single" w:color="000000" w:sz="4" w:space="0"/>
              <w:bottom w:val="single" w:color="000000" w:sz="4" w:space="0"/>
              <w:right w:val="single" w:color="000000" w:sz="4" w:space="0"/>
            </w:tcBorders>
            <w:shd w:val="clear" w:color="auto" w:fill="auto"/>
            <w:vAlign w:val="top"/>
          </w:tcPr>
          <w:p w14:paraId="6C64FC9D">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工作站弹窗处置、违规项目反馈、出院审核操作、在院病例预分组查询</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top"/>
          </w:tcPr>
          <w:p w14:paraId="4483DC17">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≥2学时/批次</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top"/>
          </w:tcPr>
          <w:p w14:paraId="61E8EE3B">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《临床端操作手册》</w:t>
            </w:r>
          </w:p>
        </w:tc>
      </w:tr>
      <w:tr w14:paraId="3D874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top"/>
          </w:tcPr>
          <w:p w14:paraId="0443FC84">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医保办/病案科专员</w:t>
            </w:r>
          </w:p>
        </w:tc>
        <w:tc>
          <w:tcPr>
            <w:tcW w:w="3876" w:type="dxa"/>
            <w:tcBorders>
              <w:top w:val="single" w:color="000000" w:sz="4" w:space="0"/>
              <w:left w:val="single" w:color="000000" w:sz="4" w:space="0"/>
              <w:bottom w:val="single" w:color="000000" w:sz="4" w:space="0"/>
              <w:right w:val="single" w:color="000000" w:sz="4" w:space="0"/>
            </w:tcBorders>
            <w:shd w:val="clear" w:color="auto" w:fill="auto"/>
            <w:vAlign w:val="top"/>
          </w:tcPr>
          <w:p w14:paraId="76EF9DE6">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审核规则配置、结算清单质控、DRG分组调整、申诉材料填报、报表导出</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top"/>
          </w:tcPr>
          <w:p w14:paraId="07633833">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≥4学时</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top"/>
          </w:tcPr>
          <w:p w14:paraId="17331F8F">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《医保管理端操作手册》</w:t>
            </w:r>
          </w:p>
        </w:tc>
      </w:tr>
      <w:tr w14:paraId="60E43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top"/>
          </w:tcPr>
          <w:p w14:paraId="67556223">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信息科运维人员</w:t>
            </w:r>
          </w:p>
        </w:tc>
        <w:tc>
          <w:tcPr>
            <w:tcW w:w="3876" w:type="dxa"/>
            <w:tcBorders>
              <w:top w:val="single" w:color="000000" w:sz="4" w:space="0"/>
              <w:left w:val="single" w:color="000000" w:sz="4" w:space="0"/>
              <w:bottom w:val="single" w:color="000000" w:sz="4" w:space="0"/>
              <w:right w:val="single" w:color="000000" w:sz="4" w:space="0"/>
            </w:tcBorders>
            <w:shd w:val="clear" w:color="auto" w:fill="auto"/>
            <w:vAlign w:val="top"/>
          </w:tcPr>
          <w:p w14:paraId="37166972">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系统部署架构、接口配置、日常运维、故障排查、数据备份</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top"/>
          </w:tcPr>
          <w:p w14:paraId="02EF0990">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≥3学时</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top"/>
          </w:tcPr>
          <w:p w14:paraId="54F2791C">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《系统运维手册》</w:t>
            </w:r>
          </w:p>
        </w:tc>
      </w:tr>
      <w:tr w14:paraId="72AD9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top"/>
          </w:tcPr>
          <w:p w14:paraId="1D88A9E9">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院领导/职能科室</w:t>
            </w:r>
          </w:p>
        </w:tc>
        <w:tc>
          <w:tcPr>
            <w:tcW w:w="3876" w:type="dxa"/>
            <w:tcBorders>
              <w:top w:val="single" w:color="000000" w:sz="4" w:space="0"/>
              <w:left w:val="single" w:color="000000" w:sz="4" w:space="0"/>
              <w:bottom w:val="single" w:color="000000" w:sz="4" w:space="0"/>
              <w:right w:val="single" w:color="000000" w:sz="4" w:space="0"/>
            </w:tcBorders>
            <w:shd w:val="clear" w:color="auto" w:fill="auto"/>
            <w:vAlign w:val="top"/>
          </w:tcPr>
          <w:p w14:paraId="32F5C6CB">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DRG运营看板解读、医保违规分析、盈亏报表查看</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top"/>
          </w:tcPr>
          <w:p w14:paraId="1FDF88F5">
            <w:pPr>
              <w:pStyle w:val="16"/>
              <w:keepNext w:val="0"/>
              <w:keepLines w:val="0"/>
              <w:widowControl/>
              <w:suppressLineNumbers w:val="0"/>
              <w:ind w:left="0" w:leftChars="0" w:right="0" w:rightChars="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highlight w:val="none"/>
                <w:vertAlign w:val="baseline"/>
              </w:rPr>
              <w:t>≥1学时</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C0AC">
            <w:pPr>
              <w:keepNext w:val="0"/>
              <w:keepLines w:val="0"/>
              <w:suppressLineNumbers w:val="0"/>
              <w:spacing w:before="0" w:beforeAutospacing="0" w:after="0" w:afterAutospacing="0"/>
              <w:ind w:left="0" w:right="0"/>
              <w:rPr>
                <w:rFonts w:hint="eastAsia" w:ascii="仿宋" w:hAnsi="仿宋" w:eastAsia="仿宋" w:cs="仿宋"/>
                <w:i w:val="0"/>
                <w:iCs w:val="0"/>
                <w:color w:val="000000"/>
                <w:sz w:val="24"/>
                <w:szCs w:val="24"/>
                <w:highlight w:val="none"/>
                <w:u w:val="none"/>
              </w:rPr>
            </w:pPr>
          </w:p>
        </w:tc>
      </w:tr>
    </w:tbl>
    <w:p w14:paraId="742D16E8">
      <w:pPr>
        <w:keepNext w:val="0"/>
        <w:keepLines w:val="0"/>
        <w:pageBreakBefore w:val="0"/>
        <w:numPr>
          <w:ilvl w:val="0"/>
          <w:numId w:val="0"/>
        </w:numPr>
        <w:shd w:val="clear"/>
        <w:kinsoku/>
        <w:wordWrap/>
        <w:overflowPunct/>
        <w:topLinePunct w:val="0"/>
        <w:autoSpaceDE/>
        <w:autoSpaceDN/>
        <w:bidi w:val="0"/>
        <w:adjustRightInd/>
        <w:snapToGrid/>
        <w:spacing w:line="360" w:lineRule="auto"/>
        <w:ind w:leftChars="0"/>
        <w:rPr>
          <w:rFonts w:hint="eastAsia" w:ascii="仿宋" w:hAnsi="仿宋" w:eastAsia="仿宋" w:cs="仿宋"/>
          <w:color w:val="000000"/>
          <w:kern w:val="0"/>
          <w:sz w:val="24"/>
          <w:szCs w:val="24"/>
          <w:highlight w:val="none"/>
        </w:rPr>
      </w:pPr>
    </w:p>
    <w:p w14:paraId="452E0810">
      <w:pPr>
        <w:keepNext w:val="0"/>
        <w:keepLines w:val="0"/>
        <w:pageBreakBefore w:val="0"/>
        <w:numPr>
          <w:ilvl w:val="1"/>
          <w:numId w:val="15"/>
        </w:numPr>
        <w:shd w:val="clear"/>
        <w:kinsoku/>
        <w:wordWrap/>
        <w:overflowPunct/>
        <w:topLinePunct w:val="0"/>
        <w:autoSpaceDE/>
        <w:autoSpaceDN/>
        <w:bidi w:val="0"/>
        <w:adjustRightInd/>
        <w:snapToGrid/>
        <w:spacing w:line="360" w:lineRule="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其他要求：</w:t>
      </w:r>
    </w:p>
    <w:p w14:paraId="3F034168">
      <w:pPr>
        <w:keepNext w:val="0"/>
        <w:keepLines w:val="0"/>
        <w:pageBreakBefore w:val="0"/>
        <w:numPr>
          <w:ilvl w:val="0"/>
          <w:numId w:val="16"/>
        </w:numPr>
        <w:shd w:val="clear"/>
        <w:kinsoku/>
        <w:wordWrap/>
        <w:overflowPunct/>
        <w:topLinePunct w:val="0"/>
        <w:autoSpaceDE/>
        <w:autoSpaceDN/>
        <w:bidi w:val="0"/>
        <w:adjustRightInd/>
        <w:snapToGrid/>
        <w:spacing w:line="360" w:lineRule="auto"/>
        <w:ind w:left="425" w:leftChars="0" w:hanging="425"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培训实施：培训不单独收费，包含在总报价中；培训场地由院方提供，讲师与教材由中标方负责；培训需安排在实际运行环境中进行，采用“讲解+实操+考核”模式，确保参训人员通过实操考核。按招标人需要安排，每年不少于4次培训</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另需配合医院医保检查、自查自纠、模拟飞检等工作开展专项培训与现场辅导，不另行收取费用。</w:t>
      </w:r>
    </w:p>
    <w:p w14:paraId="3073AA23">
      <w:pPr>
        <w:keepNext w:val="0"/>
        <w:keepLines w:val="0"/>
        <w:pageBreakBefore w:val="0"/>
        <w:numPr>
          <w:ilvl w:val="0"/>
          <w:numId w:val="16"/>
        </w:numPr>
        <w:shd w:val="clear"/>
        <w:kinsoku/>
        <w:wordWrap/>
        <w:overflowPunct/>
        <w:topLinePunct w:val="0"/>
        <w:autoSpaceDE/>
        <w:autoSpaceDN/>
        <w:bidi w:val="0"/>
        <w:adjustRightInd/>
        <w:snapToGrid/>
        <w:spacing w:line="360" w:lineRule="auto"/>
        <w:ind w:left="425" w:leftChars="0" w:hanging="425"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售后与升级：</w:t>
      </w:r>
    </w:p>
    <w:p w14:paraId="2836635A">
      <w:pPr>
        <w:keepNext w:val="0"/>
        <w:keepLines w:val="0"/>
        <w:pageBreakBefore w:val="0"/>
        <w:numPr>
          <w:ilvl w:val="0"/>
          <w:numId w:val="17"/>
        </w:numPr>
        <w:shd w:val="clear"/>
        <w:kinsoku/>
        <w:wordWrap/>
        <w:overflowPunct/>
        <w:topLinePunct w:val="0"/>
        <w:autoSpaceDE/>
        <w:autoSpaceDN/>
        <w:bidi w:val="0"/>
        <w:adjustRightInd/>
        <w:snapToGrid/>
        <w:spacing w:line="360" w:lineRule="auto"/>
        <w:ind w:left="420" w:leftChars="0" w:hanging="420"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培训安排</w:t>
      </w:r>
    </w:p>
    <w:tbl>
      <w:tblPr>
        <w:tblStyle w:val="20"/>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1"/>
        <w:gridCol w:w="2033"/>
        <w:gridCol w:w="4667"/>
      </w:tblGrid>
      <w:tr w14:paraId="55EB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1" w:type="dxa"/>
            <w:vAlign w:val="center"/>
          </w:tcPr>
          <w:p w14:paraId="7AA67FF4">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仿宋" w:hAnsi="仿宋" w:eastAsia="仿宋" w:cs="仿宋"/>
                <w:color w:val="000000"/>
                <w:kern w:val="0"/>
                <w:sz w:val="24"/>
                <w:highlight w:val="none"/>
                <w:vertAlign w:val="baseline"/>
                <w:lang w:val="en-US" w:eastAsia="zh-CN"/>
              </w:rPr>
            </w:pPr>
            <w:r>
              <w:rPr>
                <w:rFonts w:hint="eastAsia" w:ascii="仿宋" w:hAnsi="仿宋" w:eastAsia="仿宋" w:cs="仿宋"/>
                <w:color w:val="000000"/>
                <w:kern w:val="0"/>
                <w:sz w:val="24"/>
                <w:highlight w:val="none"/>
                <w:vertAlign w:val="baseline"/>
                <w:lang w:val="en-US" w:eastAsia="zh-CN"/>
              </w:rPr>
              <w:t>时间类型</w:t>
            </w:r>
          </w:p>
        </w:tc>
        <w:tc>
          <w:tcPr>
            <w:tcW w:w="2033" w:type="dxa"/>
            <w:vAlign w:val="center"/>
          </w:tcPr>
          <w:p w14:paraId="3A737593">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仿宋" w:hAnsi="仿宋" w:eastAsia="仿宋" w:cs="仿宋"/>
                <w:color w:val="000000"/>
                <w:kern w:val="0"/>
                <w:sz w:val="24"/>
                <w:highlight w:val="none"/>
                <w:vertAlign w:val="baseline"/>
                <w:lang w:val="en-US" w:eastAsia="zh-CN"/>
              </w:rPr>
            </w:pPr>
            <w:r>
              <w:rPr>
                <w:rFonts w:hint="eastAsia" w:ascii="仿宋" w:hAnsi="仿宋" w:eastAsia="仿宋" w:cs="仿宋"/>
                <w:color w:val="000000"/>
                <w:kern w:val="0"/>
                <w:sz w:val="24"/>
                <w:highlight w:val="none"/>
                <w:vertAlign w:val="baseline"/>
                <w:lang w:val="en-US" w:eastAsia="zh-CN"/>
              </w:rPr>
              <w:t>具体培训次数</w:t>
            </w:r>
          </w:p>
        </w:tc>
        <w:tc>
          <w:tcPr>
            <w:tcW w:w="4667" w:type="dxa"/>
            <w:vAlign w:val="center"/>
          </w:tcPr>
          <w:p w14:paraId="06012FB2">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仿宋" w:hAnsi="仿宋" w:eastAsia="仿宋" w:cs="仿宋"/>
                <w:color w:val="000000"/>
                <w:kern w:val="0"/>
                <w:sz w:val="24"/>
                <w:highlight w:val="none"/>
                <w:vertAlign w:val="baseline"/>
                <w:lang w:val="en-US" w:eastAsia="zh-CN"/>
              </w:rPr>
            </w:pPr>
            <w:r>
              <w:rPr>
                <w:rFonts w:hint="eastAsia" w:ascii="仿宋" w:hAnsi="仿宋" w:eastAsia="仿宋" w:cs="仿宋"/>
                <w:color w:val="000000"/>
                <w:kern w:val="0"/>
                <w:sz w:val="24"/>
                <w:highlight w:val="none"/>
                <w:vertAlign w:val="baseline"/>
                <w:lang w:val="en-US" w:eastAsia="zh-CN"/>
              </w:rPr>
              <w:t>备注</w:t>
            </w:r>
          </w:p>
        </w:tc>
      </w:tr>
      <w:tr w14:paraId="3905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1" w:type="dxa"/>
            <w:shd w:val="clear" w:color="auto" w:fill="auto"/>
            <w:vAlign w:val="center"/>
          </w:tcPr>
          <w:p w14:paraId="665CB420">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rPr>
                <w:rFonts w:hint="eastAsia" w:ascii="仿宋" w:hAnsi="仿宋" w:eastAsia="仿宋" w:cs="仿宋"/>
                <w:color w:val="000000"/>
                <w:kern w:val="0"/>
                <w:sz w:val="24"/>
                <w:szCs w:val="24"/>
                <w:highlight w:val="none"/>
                <w:vertAlign w:val="baseline"/>
                <w:lang w:val="en-US" w:eastAsia="zh-CN" w:bidi="ar-SA"/>
              </w:rPr>
            </w:pPr>
            <w:r>
              <w:rPr>
                <w:rFonts w:hint="eastAsia" w:ascii="仿宋" w:hAnsi="仿宋" w:eastAsia="仿宋" w:cs="仿宋"/>
                <w:color w:val="000000"/>
                <w:kern w:val="0"/>
                <w:sz w:val="24"/>
                <w:highlight w:val="none"/>
                <w:lang w:val="en-US" w:eastAsia="zh-CN"/>
              </w:rPr>
              <w:t>实施完成后，</w:t>
            </w:r>
            <w:r>
              <w:rPr>
                <w:rFonts w:hint="eastAsia" w:ascii="仿宋" w:hAnsi="仿宋" w:eastAsia="仿宋" w:cs="仿宋"/>
                <w:color w:val="000000"/>
                <w:kern w:val="0"/>
                <w:sz w:val="24"/>
                <w:highlight w:val="none"/>
              </w:rPr>
              <w:t>验收</w:t>
            </w:r>
            <w:r>
              <w:rPr>
                <w:rFonts w:hint="eastAsia" w:ascii="仿宋" w:hAnsi="仿宋" w:eastAsia="仿宋" w:cs="仿宋"/>
                <w:color w:val="000000"/>
                <w:kern w:val="0"/>
                <w:sz w:val="24"/>
                <w:highlight w:val="none"/>
                <w:lang w:val="en-US" w:eastAsia="zh-CN"/>
              </w:rPr>
              <w:t>前</w:t>
            </w:r>
          </w:p>
        </w:tc>
        <w:tc>
          <w:tcPr>
            <w:tcW w:w="2033" w:type="dxa"/>
            <w:vMerge w:val="restart"/>
            <w:vAlign w:val="center"/>
          </w:tcPr>
          <w:p w14:paraId="5BAEA076">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right="0"/>
              <w:rPr>
                <w:rFonts w:hint="default" w:ascii="仿宋" w:hAnsi="仿宋" w:eastAsia="仿宋" w:cs="仿宋"/>
                <w:color w:val="000000"/>
                <w:kern w:val="0"/>
                <w:sz w:val="24"/>
                <w:highlight w:val="none"/>
                <w:vertAlign w:val="baseline"/>
                <w:lang w:val="en-US" w:eastAsia="zh-CN"/>
              </w:rPr>
            </w:pPr>
            <w:r>
              <w:rPr>
                <w:rFonts w:hint="eastAsia" w:ascii="仿宋" w:hAnsi="仿宋" w:eastAsia="仿宋" w:cs="仿宋"/>
                <w:color w:val="000000"/>
                <w:kern w:val="0"/>
                <w:sz w:val="24"/>
                <w:highlight w:val="none"/>
                <w:vertAlign w:val="baseline"/>
                <w:lang w:val="en-US" w:eastAsia="zh-CN"/>
              </w:rPr>
              <w:t>每年不少于4次</w:t>
            </w:r>
          </w:p>
        </w:tc>
        <w:tc>
          <w:tcPr>
            <w:tcW w:w="4667" w:type="dxa"/>
            <w:vMerge w:val="restart"/>
            <w:vAlign w:val="center"/>
          </w:tcPr>
          <w:p w14:paraId="3F539302">
            <w:pPr>
              <w:keepNext w:val="0"/>
              <w:keepLines w:val="0"/>
              <w:pageBreakBefore w:val="0"/>
              <w:numPr>
                <w:ilvl w:val="0"/>
                <w:numId w:val="18"/>
              </w:numPr>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免费现场复训</w:t>
            </w:r>
          </w:p>
          <w:p w14:paraId="1C25DD05">
            <w:pPr>
              <w:keepNext w:val="0"/>
              <w:keepLines w:val="0"/>
              <w:pageBreakBefore w:val="0"/>
              <w:numPr>
                <w:ilvl w:val="0"/>
                <w:numId w:val="18"/>
              </w:numPr>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color w:val="000000"/>
                <w:kern w:val="0"/>
                <w:sz w:val="24"/>
                <w:highlight w:val="none"/>
                <w:vertAlign w:val="baseline"/>
                <w:lang w:val="en-US" w:eastAsia="zh-CN"/>
              </w:rPr>
            </w:pPr>
            <w:r>
              <w:rPr>
                <w:rFonts w:hint="eastAsia" w:ascii="仿宋" w:hAnsi="仿宋" w:eastAsia="仿宋" w:cs="仿宋"/>
                <w:color w:val="000000"/>
                <w:kern w:val="0"/>
                <w:sz w:val="24"/>
                <w:highlight w:val="none"/>
              </w:rPr>
              <w:t>针对新员工</w:t>
            </w:r>
            <w:r>
              <w:rPr>
                <w:rFonts w:hint="eastAsia" w:ascii="仿宋" w:hAnsi="仿宋" w:eastAsia="仿宋" w:cs="仿宋"/>
                <w:color w:val="000000"/>
                <w:kern w:val="0"/>
                <w:sz w:val="24"/>
                <w:highlight w:val="none"/>
                <w:lang w:val="en-US" w:eastAsia="zh-CN"/>
              </w:rPr>
              <w:t>入职</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业务流程变更</w:t>
            </w:r>
            <w:r>
              <w:rPr>
                <w:rFonts w:hint="eastAsia" w:ascii="仿宋" w:hAnsi="仿宋" w:eastAsia="仿宋" w:cs="仿宋"/>
                <w:color w:val="000000"/>
                <w:kern w:val="0"/>
                <w:sz w:val="24"/>
                <w:highlight w:val="none"/>
                <w:lang w:val="en-US" w:eastAsia="zh-CN"/>
              </w:rPr>
              <w:t>或其他招标人需要的情况</w:t>
            </w:r>
          </w:p>
        </w:tc>
      </w:tr>
      <w:tr w14:paraId="4A58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1" w:type="dxa"/>
            <w:shd w:val="clear" w:color="auto" w:fill="auto"/>
            <w:vAlign w:val="center"/>
          </w:tcPr>
          <w:p w14:paraId="0657E252">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rPr>
                <w:rFonts w:hint="default" w:ascii="仿宋" w:hAnsi="仿宋" w:eastAsia="仿宋" w:cs="仿宋"/>
                <w:color w:val="000000"/>
                <w:kern w:val="0"/>
                <w:sz w:val="24"/>
                <w:szCs w:val="24"/>
                <w:highlight w:val="none"/>
                <w:vertAlign w:val="baseline"/>
                <w:lang w:val="en-US" w:eastAsia="zh-CN" w:bidi="ar-SA"/>
              </w:rPr>
            </w:pPr>
            <w:r>
              <w:rPr>
                <w:rFonts w:hint="eastAsia" w:ascii="仿宋" w:hAnsi="仿宋" w:eastAsia="仿宋" w:cs="仿宋"/>
                <w:color w:val="000000"/>
                <w:kern w:val="0"/>
                <w:sz w:val="24"/>
                <w:highlight w:val="none"/>
              </w:rPr>
              <w:t>免费服务期内</w:t>
            </w:r>
          </w:p>
        </w:tc>
        <w:tc>
          <w:tcPr>
            <w:tcW w:w="2033" w:type="dxa"/>
            <w:vMerge w:val="continue"/>
            <w:vAlign w:val="center"/>
          </w:tcPr>
          <w:p w14:paraId="1109380A">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color w:val="000000"/>
                <w:kern w:val="0"/>
                <w:sz w:val="24"/>
                <w:highlight w:val="none"/>
                <w:vertAlign w:val="baseline"/>
              </w:rPr>
            </w:pPr>
          </w:p>
        </w:tc>
        <w:tc>
          <w:tcPr>
            <w:tcW w:w="4667" w:type="dxa"/>
            <w:vMerge w:val="continue"/>
            <w:vAlign w:val="center"/>
          </w:tcPr>
          <w:p w14:paraId="6E87DD9A">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color w:val="000000"/>
                <w:kern w:val="0"/>
                <w:sz w:val="24"/>
                <w:highlight w:val="none"/>
                <w:vertAlign w:val="baseline"/>
              </w:rPr>
            </w:pPr>
          </w:p>
        </w:tc>
      </w:tr>
      <w:tr w14:paraId="7411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1" w:type="dxa"/>
            <w:shd w:val="clear" w:color="auto" w:fill="auto"/>
            <w:vAlign w:val="center"/>
          </w:tcPr>
          <w:p w14:paraId="11F42553">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rPr>
                <w:rFonts w:hint="eastAsia" w:ascii="仿宋" w:hAnsi="仿宋" w:eastAsia="仿宋" w:cs="仿宋"/>
                <w:color w:val="000000"/>
                <w:kern w:val="0"/>
                <w:sz w:val="24"/>
                <w:szCs w:val="24"/>
                <w:highlight w:val="none"/>
                <w:vertAlign w:val="baseline"/>
                <w:lang w:val="en-US" w:eastAsia="zh-CN" w:bidi="ar-SA"/>
              </w:rPr>
            </w:pPr>
            <w:r>
              <w:rPr>
                <w:rFonts w:hint="eastAsia" w:ascii="仿宋" w:hAnsi="仿宋" w:eastAsia="仿宋" w:cs="仿宋"/>
                <w:color w:val="000000"/>
                <w:kern w:val="0"/>
                <w:sz w:val="24"/>
                <w:highlight w:val="none"/>
                <w:vertAlign w:val="baseline"/>
                <w:lang w:val="en-US" w:eastAsia="zh-CN"/>
              </w:rPr>
              <w:t>有偿服务</w:t>
            </w:r>
            <w:r>
              <w:rPr>
                <w:rFonts w:hint="eastAsia" w:ascii="仿宋" w:hAnsi="仿宋" w:eastAsia="仿宋" w:cs="仿宋"/>
                <w:color w:val="000000"/>
                <w:kern w:val="0"/>
                <w:sz w:val="24"/>
                <w:highlight w:val="none"/>
              </w:rPr>
              <w:t>期</w:t>
            </w:r>
            <w:r>
              <w:rPr>
                <w:rFonts w:hint="eastAsia" w:ascii="仿宋" w:hAnsi="仿宋" w:eastAsia="仿宋" w:cs="仿宋"/>
                <w:color w:val="000000"/>
                <w:kern w:val="0"/>
                <w:sz w:val="24"/>
                <w:highlight w:val="none"/>
                <w:lang w:val="en-US" w:eastAsia="zh-CN"/>
              </w:rPr>
              <w:t>内</w:t>
            </w:r>
          </w:p>
        </w:tc>
        <w:tc>
          <w:tcPr>
            <w:tcW w:w="2033" w:type="dxa"/>
            <w:vMerge w:val="continue"/>
            <w:vAlign w:val="center"/>
          </w:tcPr>
          <w:p w14:paraId="7467763C">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color w:val="000000"/>
                <w:kern w:val="0"/>
                <w:sz w:val="24"/>
                <w:highlight w:val="none"/>
                <w:vertAlign w:val="baseline"/>
              </w:rPr>
            </w:pPr>
          </w:p>
        </w:tc>
        <w:tc>
          <w:tcPr>
            <w:tcW w:w="4667" w:type="dxa"/>
            <w:vMerge w:val="continue"/>
            <w:vAlign w:val="center"/>
          </w:tcPr>
          <w:p w14:paraId="5E897FEF">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color w:val="000000"/>
                <w:kern w:val="0"/>
                <w:sz w:val="24"/>
                <w:highlight w:val="none"/>
                <w:vertAlign w:val="baseline"/>
              </w:rPr>
            </w:pPr>
          </w:p>
        </w:tc>
      </w:tr>
    </w:tbl>
    <w:p w14:paraId="476B8233">
      <w:pPr>
        <w:keepNext w:val="0"/>
        <w:keepLines w:val="0"/>
        <w:pageBreakBefore w:val="0"/>
        <w:numPr>
          <w:ilvl w:val="0"/>
          <w:numId w:val="17"/>
        </w:numPr>
        <w:shd w:val="clear"/>
        <w:kinsoku/>
        <w:wordWrap/>
        <w:overflowPunct/>
        <w:topLinePunct w:val="0"/>
        <w:autoSpaceDE/>
        <w:autoSpaceDN/>
        <w:bidi w:val="0"/>
        <w:adjustRightInd/>
        <w:snapToGrid/>
        <w:spacing w:line="360" w:lineRule="auto"/>
        <w:ind w:left="420" w:leftChars="0" w:hanging="420"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免费服务期内，若因医院业务调整（如新增科室、调整DRG分组规则）需修改系统功能，中标方需免费提供技术支持与配置调整；</w:t>
      </w:r>
    </w:p>
    <w:p w14:paraId="26973553">
      <w:pPr>
        <w:keepNext w:val="0"/>
        <w:keepLines w:val="0"/>
        <w:pageBreakBefore w:val="0"/>
        <w:numPr>
          <w:ilvl w:val="0"/>
          <w:numId w:val="17"/>
        </w:numPr>
        <w:shd w:val="clear"/>
        <w:kinsoku/>
        <w:wordWrap/>
        <w:overflowPunct/>
        <w:topLinePunct w:val="0"/>
        <w:autoSpaceDE/>
        <w:autoSpaceDN/>
        <w:bidi w:val="0"/>
        <w:adjustRightInd/>
        <w:snapToGrid/>
        <w:spacing w:line="360" w:lineRule="auto"/>
        <w:ind w:left="420" w:leftChars="0" w:hanging="420"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若医院HIS系统升级导致接口变动，中标方需免费配合完成系统适配改造。</w:t>
      </w:r>
    </w:p>
    <w:p w14:paraId="75BA5326">
      <w:pPr>
        <w:keepNext w:val="0"/>
        <w:keepLines w:val="0"/>
        <w:pageBreakBefore w:val="0"/>
        <w:numPr>
          <w:ilvl w:val="1"/>
          <w:numId w:val="15"/>
        </w:numPr>
        <w:shd w:val="clear"/>
        <w:kinsoku/>
        <w:wordWrap/>
        <w:overflowPunct/>
        <w:topLinePunct w:val="0"/>
        <w:autoSpaceDE/>
        <w:autoSpaceDN/>
        <w:bidi w:val="0"/>
        <w:adjustRightInd/>
        <w:snapToGrid/>
        <w:spacing w:line="360" w:lineRule="auto"/>
        <w:ind w:left="0" w:leftChars="0" w:firstLine="0"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专项能力提升培训：</w:t>
      </w:r>
    </w:p>
    <w:p w14:paraId="4F19C90A">
      <w:pPr>
        <w:keepNext w:val="0"/>
        <w:keepLines w:val="0"/>
        <w:pageBreakBefore w:val="0"/>
        <w:numPr>
          <w:ilvl w:val="-1"/>
          <w:numId w:val="0"/>
        </w:numPr>
        <w:shd w:val="clear"/>
        <w:kinsoku/>
        <w:wordWrap/>
        <w:overflowPunct/>
        <w:topLinePunct w:val="0"/>
        <w:autoSpaceDE/>
        <w:autoSpaceDN/>
        <w:bidi w:val="0"/>
        <w:adjustRightInd/>
        <w:snapToGrid/>
        <w:spacing w:line="360" w:lineRule="auto"/>
        <w:ind w:left="0" w:leftChars="0"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中标方需额外提供医保合规专项培训，协助医院开展医保检查迎检、自查自纠、模拟飞检相关工作，培训内容包括但不限于飞检规则解读、疑点数据排查方法、申诉材料填报规范、迎检应答技巧等。该部分培训不单独收费，包含在总报价中，每年不少于2次，可根据医院迎检需求随时安排专项辅导。</w:t>
      </w:r>
    </w:p>
    <w:p w14:paraId="10ADCF1F">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99" w:name="_Toc469850054"/>
      <w:bookmarkStart w:id="100" w:name="_Toc97561932"/>
      <w:bookmarkStart w:id="101" w:name="_Toc164330949"/>
      <w:bookmarkStart w:id="102" w:name="_Toc91399395"/>
      <w:bookmarkStart w:id="103" w:name="_Toc89586895"/>
      <w:bookmarkStart w:id="104" w:name="_Toc20886"/>
      <w:bookmarkStart w:id="105" w:name="_Toc9777"/>
      <w:bookmarkStart w:id="106" w:name="_Toc18087"/>
      <w:bookmarkStart w:id="107" w:name="_Toc26565"/>
      <w:bookmarkStart w:id="108" w:name="_Toc11809"/>
      <w:bookmarkStart w:id="109" w:name="_Toc25987"/>
      <w:r>
        <w:rPr>
          <w:rFonts w:hint="eastAsia" w:ascii="仿宋" w:hAnsi="仿宋" w:eastAsia="仿宋" w:cs="仿宋"/>
          <w:b/>
          <w:kern w:val="0"/>
          <w:sz w:val="24"/>
          <w:highlight w:val="none"/>
        </w:rPr>
        <w:t>投标报价</w:t>
      </w:r>
      <w:bookmarkEnd w:id="99"/>
      <w:bookmarkEnd w:id="100"/>
      <w:bookmarkEnd w:id="101"/>
      <w:bookmarkEnd w:id="102"/>
      <w:bookmarkEnd w:id="103"/>
      <w:bookmarkEnd w:id="104"/>
      <w:r>
        <w:rPr>
          <w:rFonts w:hint="eastAsia" w:ascii="仿宋" w:hAnsi="仿宋" w:eastAsia="仿宋" w:cs="仿宋"/>
          <w:b/>
          <w:kern w:val="0"/>
          <w:sz w:val="24"/>
          <w:highlight w:val="none"/>
        </w:rPr>
        <w:t>及付款方式</w:t>
      </w:r>
      <w:bookmarkEnd w:id="105"/>
      <w:bookmarkEnd w:id="106"/>
      <w:bookmarkEnd w:id="107"/>
      <w:bookmarkEnd w:id="108"/>
      <w:bookmarkEnd w:id="109"/>
    </w:p>
    <w:p w14:paraId="59088B74">
      <w:pPr>
        <w:numPr>
          <w:ilvl w:val="1"/>
          <w:numId w:val="19"/>
        </w:numPr>
        <w:shd w:val="clear"/>
        <w:spacing w:line="360" w:lineRule="auto"/>
        <w:ind w:left="420" w:hanging="420"/>
        <w:rPr>
          <w:rFonts w:hint="eastAsia" w:ascii="仿宋" w:hAnsi="仿宋" w:eastAsia="仿宋" w:cs="仿宋"/>
          <w:kern w:val="0"/>
          <w:sz w:val="24"/>
          <w:highlight w:val="none"/>
        </w:rPr>
      </w:pPr>
      <w:r>
        <w:rPr>
          <w:rFonts w:hint="eastAsia" w:ascii="仿宋" w:hAnsi="仿宋" w:eastAsia="仿宋" w:cs="仿宋"/>
          <w:sz w:val="24"/>
          <w:highlight w:val="none"/>
        </w:rPr>
        <w:t>报价为总包干价，</w:t>
      </w:r>
      <w:r>
        <w:rPr>
          <w:rFonts w:hint="eastAsia" w:ascii="仿宋" w:hAnsi="仿宋" w:eastAsia="仿宋" w:cs="仿宋"/>
          <w:b/>
          <w:bCs/>
          <w:sz w:val="24"/>
          <w:highlight w:val="none"/>
        </w:rPr>
        <w:t>包含软件采购、定制开发、HIS对接、部署、培训、运维、税费等全部费用</w:t>
      </w:r>
      <w:r>
        <w:rPr>
          <w:rFonts w:hint="eastAsia" w:ascii="仿宋" w:hAnsi="仿宋" w:eastAsia="仿宋" w:cs="仿宋"/>
          <w:b/>
          <w:bCs/>
          <w:color w:val="000000"/>
          <w:kern w:val="0"/>
          <w:sz w:val="24"/>
          <w:highlight w:val="none"/>
        </w:rPr>
        <w:t>。</w:t>
      </w:r>
      <w:bookmarkStart w:id="110" w:name="OLE_LINK4"/>
      <w:r>
        <w:rPr>
          <w:rFonts w:hint="eastAsia" w:ascii="仿宋" w:hAnsi="仿宋" w:eastAsia="仿宋" w:cs="仿宋"/>
          <w:b/>
          <w:bCs/>
          <w:color w:val="000000"/>
          <w:kern w:val="0"/>
          <w:sz w:val="24"/>
          <w:highlight w:val="none"/>
        </w:rPr>
        <w:t>投标人负责完成与HIS系统的标准化接口开发、联调工作，相关开发费用已包含在投标报价中。若</w:t>
      </w:r>
      <w:r>
        <w:rPr>
          <w:rFonts w:hint="eastAsia" w:ascii="仿宋" w:hAnsi="仿宋" w:eastAsia="仿宋" w:cs="仿宋"/>
          <w:b/>
          <w:bCs/>
          <w:color w:val="000000"/>
          <w:kern w:val="0"/>
          <w:sz w:val="24"/>
          <w:highlight w:val="none"/>
          <w:lang w:val="en-US" w:eastAsia="zh-CN"/>
        </w:rPr>
        <w:t>招标人</w:t>
      </w:r>
      <w:r>
        <w:rPr>
          <w:rFonts w:hint="eastAsia" w:ascii="仿宋" w:hAnsi="仿宋" w:eastAsia="仿宋" w:cs="仿宋"/>
          <w:b/>
          <w:bCs/>
          <w:color w:val="000000"/>
          <w:kern w:val="0"/>
          <w:sz w:val="24"/>
          <w:highlight w:val="none"/>
        </w:rPr>
        <w:t>HIS厂商就接口对接收取额外费用，该费用由</w:t>
      </w:r>
      <w:r>
        <w:rPr>
          <w:rFonts w:hint="eastAsia" w:ascii="仿宋" w:hAnsi="仿宋" w:eastAsia="仿宋" w:cs="仿宋"/>
          <w:b/>
          <w:bCs/>
          <w:color w:val="000000"/>
          <w:kern w:val="0"/>
          <w:sz w:val="24"/>
          <w:highlight w:val="none"/>
          <w:lang w:val="en-US" w:eastAsia="zh-CN"/>
        </w:rPr>
        <w:t>招标人</w:t>
      </w:r>
      <w:r>
        <w:rPr>
          <w:rFonts w:hint="eastAsia" w:ascii="仿宋" w:hAnsi="仿宋" w:eastAsia="仿宋" w:cs="仿宋"/>
          <w:b/>
          <w:bCs/>
          <w:color w:val="000000"/>
          <w:kern w:val="0"/>
          <w:sz w:val="24"/>
          <w:highlight w:val="none"/>
        </w:rPr>
        <w:t>另行承担。</w:t>
      </w:r>
    </w:p>
    <w:bookmarkEnd w:id="110"/>
    <w:p w14:paraId="2C378340">
      <w:pPr>
        <w:numPr>
          <w:ilvl w:val="1"/>
          <w:numId w:val="19"/>
        </w:numPr>
        <w:shd w:val="clear"/>
        <w:tabs>
          <w:tab w:val="left" w:pos="0"/>
        </w:tabs>
        <w:spacing w:line="360" w:lineRule="auto"/>
        <w:ind w:left="420" w:hanging="420"/>
        <w:rPr>
          <w:rFonts w:hint="eastAsia" w:ascii="仿宋" w:hAnsi="仿宋" w:eastAsia="仿宋" w:cs="仿宋"/>
          <w:kern w:val="0"/>
          <w:sz w:val="24"/>
          <w:highlight w:val="none"/>
        </w:rPr>
      </w:pPr>
      <w:r>
        <w:rPr>
          <w:rFonts w:hint="eastAsia" w:ascii="仿宋" w:hAnsi="仿宋" w:eastAsia="仿宋" w:cs="仿宋"/>
          <w:kern w:val="0"/>
          <w:sz w:val="24"/>
          <w:highlight w:val="none"/>
        </w:rPr>
        <w:t>付款方式：</w:t>
      </w:r>
    </w:p>
    <w:p w14:paraId="22324DC0">
      <w:pPr>
        <w:numPr>
          <w:ilvl w:val="0"/>
          <w:numId w:val="20"/>
        </w:numPr>
        <w:shd w:val="clear"/>
        <w:tabs>
          <w:tab w:val="left" w:pos="0"/>
        </w:tabs>
        <w:spacing w:line="360" w:lineRule="auto"/>
        <w:ind w:left="420" w:leftChars="0" w:hanging="420" w:firstLineChars="0"/>
        <w:rPr>
          <w:rFonts w:hint="eastAsia" w:ascii="仿宋" w:hAnsi="仿宋" w:eastAsia="仿宋" w:cs="仿宋"/>
          <w:kern w:val="0"/>
          <w:sz w:val="24"/>
          <w:highlight w:val="none"/>
        </w:rPr>
      </w:pPr>
      <w:r>
        <w:rPr>
          <w:rFonts w:hint="eastAsia" w:ascii="仿宋" w:hAnsi="仿宋" w:eastAsia="仿宋" w:cs="仿宋"/>
          <w:kern w:val="0"/>
          <w:sz w:val="24"/>
          <w:highlight w:val="none"/>
        </w:rPr>
        <w:t>合同签订后15个工作日内支付</w:t>
      </w:r>
      <w:r>
        <w:rPr>
          <w:rFonts w:hint="eastAsia" w:ascii="仿宋" w:hAnsi="仿宋" w:eastAsia="仿宋" w:cs="仿宋"/>
          <w:kern w:val="0"/>
          <w:sz w:val="24"/>
          <w:highlight w:val="none"/>
          <w:lang w:val="en-US" w:eastAsia="zh-CN"/>
        </w:rPr>
        <w:t>40</w:t>
      </w:r>
      <w:r>
        <w:rPr>
          <w:rFonts w:hint="eastAsia" w:ascii="仿宋" w:hAnsi="仿宋" w:eastAsia="仿宋" w:cs="仿宋"/>
          <w:kern w:val="0"/>
          <w:sz w:val="24"/>
          <w:highlight w:val="none"/>
        </w:rPr>
        <w:t>%；</w:t>
      </w:r>
    </w:p>
    <w:p w14:paraId="18CB60B2">
      <w:pPr>
        <w:numPr>
          <w:ilvl w:val="0"/>
          <w:numId w:val="20"/>
        </w:numPr>
        <w:shd w:val="clear"/>
        <w:tabs>
          <w:tab w:val="left" w:pos="0"/>
        </w:tabs>
        <w:spacing w:line="360" w:lineRule="auto"/>
        <w:ind w:left="420" w:leftChars="0" w:hanging="420" w:firstLineChars="0"/>
        <w:rPr>
          <w:rFonts w:hint="eastAsia" w:ascii="仿宋" w:hAnsi="仿宋" w:eastAsia="仿宋" w:cs="仿宋"/>
          <w:kern w:val="0"/>
          <w:sz w:val="24"/>
          <w:highlight w:val="none"/>
        </w:rPr>
      </w:pPr>
      <w:r>
        <w:rPr>
          <w:rFonts w:hint="eastAsia" w:ascii="仿宋" w:hAnsi="仿宋" w:eastAsia="仿宋" w:cs="仿宋"/>
          <w:kern w:val="0"/>
          <w:sz w:val="24"/>
          <w:highlight w:val="none"/>
        </w:rPr>
        <w:t>项目验收合格后支付</w:t>
      </w:r>
      <w:r>
        <w:rPr>
          <w:rFonts w:hint="eastAsia" w:ascii="仿宋" w:hAnsi="仿宋" w:eastAsia="仿宋" w:cs="仿宋"/>
          <w:kern w:val="0"/>
          <w:sz w:val="24"/>
          <w:highlight w:val="none"/>
          <w:lang w:val="en-US" w:eastAsia="zh-CN"/>
        </w:rPr>
        <w:t>50</w:t>
      </w:r>
      <w:r>
        <w:rPr>
          <w:rFonts w:hint="eastAsia" w:ascii="仿宋" w:hAnsi="仿宋" w:eastAsia="仿宋" w:cs="仿宋"/>
          <w:kern w:val="0"/>
          <w:sz w:val="24"/>
          <w:highlight w:val="none"/>
        </w:rPr>
        <w:t>%；</w:t>
      </w:r>
    </w:p>
    <w:p w14:paraId="59E3653F">
      <w:pPr>
        <w:numPr>
          <w:ilvl w:val="0"/>
          <w:numId w:val="20"/>
        </w:numPr>
        <w:shd w:val="clear"/>
        <w:tabs>
          <w:tab w:val="left" w:pos="0"/>
        </w:tabs>
        <w:spacing w:line="360" w:lineRule="auto"/>
        <w:ind w:left="420" w:leftChars="0" w:hanging="420" w:firstLineChars="0"/>
        <w:rPr>
          <w:rFonts w:hint="eastAsia" w:ascii="仿宋" w:hAnsi="仿宋" w:eastAsia="仿宋" w:cs="仿宋"/>
          <w:kern w:val="0"/>
          <w:sz w:val="24"/>
          <w:highlight w:val="none"/>
        </w:rPr>
      </w:pPr>
      <w:r>
        <w:rPr>
          <w:rFonts w:hint="eastAsia" w:ascii="仿宋" w:hAnsi="仿宋" w:eastAsia="仿宋" w:cs="仿宋"/>
          <w:kern w:val="0"/>
          <w:sz w:val="24"/>
          <w:highlight w:val="none"/>
        </w:rPr>
        <w:t>免费服务期满后支付</w:t>
      </w:r>
      <w:r>
        <w:rPr>
          <w:rFonts w:hint="eastAsia" w:ascii="仿宋" w:hAnsi="仿宋" w:eastAsia="仿宋" w:cs="仿宋"/>
          <w:kern w:val="0"/>
          <w:sz w:val="24"/>
          <w:highlight w:val="none"/>
          <w:lang w:val="en-US" w:eastAsia="zh-CN"/>
        </w:rPr>
        <w:t>10</w:t>
      </w:r>
      <w:r>
        <w:rPr>
          <w:rFonts w:hint="eastAsia" w:ascii="仿宋" w:hAnsi="仿宋" w:eastAsia="仿宋" w:cs="仿宋"/>
          <w:kern w:val="0"/>
          <w:sz w:val="24"/>
          <w:highlight w:val="none"/>
        </w:rPr>
        <w:t>%。</w:t>
      </w:r>
    </w:p>
    <w:p w14:paraId="5ECBCD23">
      <w:pPr>
        <w:numPr>
          <w:ilvl w:val="0"/>
          <w:numId w:val="0"/>
        </w:numPr>
        <w:shd w:val="clear"/>
        <w:tabs>
          <w:tab w:val="left" w:pos="0"/>
        </w:tabs>
        <w:spacing w:line="360" w:lineRule="auto"/>
        <w:ind w:leftChars="0"/>
        <w:rPr>
          <w:rFonts w:hint="eastAsia" w:ascii="仿宋" w:hAnsi="仿宋" w:eastAsia="仿宋" w:cs="仿宋"/>
          <w:kern w:val="0"/>
          <w:sz w:val="24"/>
          <w:highlight w:val="none"/>
          <w:lang w:eastAsia="zh-CN"/>
        </w:rPr>
      </w:pPr>
      <w:r>
        <w:rPr>
          <w:rFonts w:hint="eastAsia" w:ascii="仿宋" w:hAnsi="仿宋" w:eastAsia="仿宋" w:cs="仿宋"/>
          <w:kern w:val="0"/>
          <w:sz w:val="24"/>
          <w:highlight w:val="none"/>
          <w:lang w:val="en-US" w:eastAsia="zh-CN"/>
        </w:rPr>
        <w:t>5</w:t>
      </w:r>
      <w:r>
        <w:rPr>
          <w:rFonts w:hint="eastAsia" w:ascii="仿宋" w:hAnsi="仿宋" w:eastAsia="仿宋" w:cs="仿宋"/>
          <w:kern w:val="0"/>
          <w:sz w:val="24"/>
          <w:highlight w:val="none"/>
        </w:rPr>
        <w:t>.3 免费服务期后年服务费：DRG精细化管理系统年服务费≤元/年，医保智能审核系统年服务费≤元/年，分别按年支付（预付50%，剩余50%按服务考核结果支付），填写在附件5《报价表》中。</w:t>
      </w:r>
    </w:p>
    <w:p w14:paraId="24A414DC">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111" w:name="_Toc11060"/>
      <w:bookmarkStart w:id="112" w:name="_Toc8819"/>
      <w:bookmarkStart w:id="113" w:name="_Toc25994"/>
      <w:bookmarkStart w:id="114" w:name="_Toc26366"/>
      <w:bookmarkStart w:id="115" w:name="_Toc9903"/>
      <w:bookmarkStart w:id="116" w:name="_Toc20576"/>
      <w:r>
        <w:rPr>
          <w:rFonts w:hint="eastAsia" w:ascii="仿宋" w:hAnsi="仿宋" w:eastAsia="仿宋" w:cs="仿宋"/>
          <w:b/>
          <w:kern w:val="0"/>
          <w:sz w:val="24"/>
          <w:highlight w:val="none"/>
        </w:rPr>
        <w:t>投标货币</w:t>
      </w:r>
      <w:bookmarkEnd w:id="111"/>
      <w:bookmarkEnd w:id="112"/>
      <w:bookmarkEnd w:id="113"/>
      <w:bookmarkEnd w:id="114"/>
      <w:bookmarkEnd w:id="115"/>
      <w:bookmarkEnd w:id="116"/>
    </w:p>
    <w:p w14:paraId="0D1E3B2F">
      <w:pPr>
        <w:shd w:val="clear"/>
        <w:spacing w:line="360" w:lineRule="auto"/>
        <w:ind w:left="425"/>
        <w:rPr>
          <w:rFonts w:hint="eastAsia" w:ascii="仿宋" w:hAnsi="仿宋" w:eastAsia="仿宋" w:cs="仿宋"/>
          <w:highlight w:val="none"/>
        </w:rPr>
      </w:pPr>
      <w:r>
        <w:rPr>
          <w:rFonts w:hint="eastAsia" w:ascii="仿宋" w:hAnsi="仿宋" w:eastAsia="仿宋" w:cs="仿宋"/>
          <w:sz w:val="24"/>
          <w:highlight w:val="none"/>
        </w:rPr>
        <w:t>投标货币为人民币</w:t>
      </w:r>
      <w:bookmarkEnd w:id="57"/>
      <w:bookmarkEnd w:id="58"/>
      <w:bookmarkEnd w:id="59"/>
      <w:bookmarkEnd w:id="60"/>
      <w:r>
        <w:rPr>
          <w:rFonts w:hint="eastAsia" w:ascii="仿宋" w:hAnsi="仿宋" w:eastAsia="仿宋" w:cs="仿宋"/>
          <w:sz w:val="24"/>
          <w:highlight w:val="none"/>
        </w:rPr>
        <w:t>。</w:t>
      </w:r>
    </w:p>
    <w:p w14:paraId="2840E6C9">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117" w:name="_Toc18313"/>
      <w:bookmarkStart w:id="118" w:name="_Toc2089"/>
      <w:bookmarkStart w:id="119" w:name="_Toc4553"/>
      <w:bookmarkStart w:id="120" w:name="_Toc22313"/>
      <w:bookmarkStart w:id="121" w:name="_Toc622"/>
      <w:bookmarkStart w:id="122" w:name="_Toc4088"/>
      <w:r>
        <w:rPr>
          <w:rFonts w:hint="eastAsia" w:ascii="仿宋" w:hAnsi="仿宋" w:eastAsia="仿宋" w:cs="仿宋"/>
          <w:b/>
          <w:kern w:val="0"/>
          <w:sz w:val="24"/>
          <w:highlight w:val="none"/>
        </w:rPr>
        <w:t>投标流程</w:t>
      </w:r>
      <w:bookmarkEnd w:id="117"/>
      <w:bookmarkEnd w:id="118"/>
      <w:bookmarkEnd w:id="119"/>
      <w:bookmarkEnd w:id="120"/>
      <w:bookmarkEnd w:id="121"/>
      <w:bookmarkEnd w:id="122"/>
    </w:p>
    <w:p w14:paraId="1313A3DB">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发布标书后3个工作日内：发送资质文件及书面疑问至指定邮箱，等待接收钉钉会议号；</w:t>
      </w:r>
    </w:p>
    <w:p w14:paraId="626E456A">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发布标书3个工作日后，开标前至少3个工作日：参加线上标书答疑会；</w:t>
      </w:r>
    </w:p>
    <w:p w14:paraId="5DED28C5">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宣布开标纪律</w:t>
      </w:r>
      <w:r>
        <w:rPr>
          <w:rFonts w:hint="eastAsia" w:ascii="仿宋" w:hAnsi="仿宋" w:eastAsia="仿宋" w:cs="仿宋"/>
          <w:sz w:val="24"/>
          <w:highlight w:val="none"/>
          <w:lang w:eastAsia="zh-CN"/>
        </w:rPr>
        <w:t>；</w:t>
      </w:r>
    </w:p>
    <w:p w14:paraId="21E1B25B">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公布在投标截止时间前递交投标文件的投标人名称，并点名确认投标人是否派人到场</w:t>
      </w:r>
      <w:r>
        <w:rPr>
          <w:rFonts w:hint="eastAsia" w:ascii="仿宋" w:hAnsi="仿宋" w:eastAsia="仿宋" w:cs="仿宋"/>
          <w:sz w:val="24"/>
          <w:highlight w:val="none"/>
          <w:lang w:eastAsia="zh-CN"/>
        </w:rPr>
        <w:t>；</w:t>
      </w:r>
    </w:p>
    <w:p w14:paraId="17319526">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核验参加开标会议的投标人的法定代表人或委托代理人本人身份证（原件），核验被授权代理人的授权委托书（原件）</w:t>
      </w:r>
      <w:r>
        <w:rPr>
          <w:rFonts w:hint="eastAsia" w:ascii="仿宋" w:hAnsi="仿宋" w:eastAsia="仿宋" w:cs="仿宋"/>
          <w:sz w:val="24"/>
          <w:highlight w:val="none"/>
          <w:lang w:eastAsia="zh-CN"/>
        </w:rPr>
        <w:t>；</w:t>
      </w:r>
    </w:p>
    <w:p w14:paraId="25B590F8">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公布开标人、记录人、监标人等有关人员姓名</w:t>
      </w:r>
      <w:r>
        <w:rPr>
          <w:rFonts w:hint="eastAsia" w:ascii="仿宋" w:hAnsi="仿宋" w:eastAsia="仿宋" w:cs="仿宋"/>
          <w:sz w:val="24"/>
          <w:highlight w:val="none"/>
          <w:lang w:eastAsia="zh-CN"/>
        </w:rPr>
        <w:t>；</w:t>
      </w:r>
    </w:p>
    <w:p w14:paraId="371FBF07">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密封情况检查：招标人检查投标文件是否按规定密封，如发现投标文件没按规定密封，则当众原封退还。投标人检查自己投标文件袋是否与递交时一致</w:t>
      </w:r>
    </w:p>
    <w:p w14:paraId="6FBA408B">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lang w:val="en-US" w:eastAsia="zh-CN"/>
        </w:rPr>
        <w:t>按照</w:t>
      </w:r>
      <w:r>
        <w:rPr>
          <w:rFonts w:hint="eastAsia" w:ascii="仿宋" w:hAnsi="仿宋" w:eastAsia="仿宋" w:cs="仿宋"/>
          <w:sz w:val="24"/>
          <w:highlight w:val="none"/>
        </w:rPr>
        <w:t>签到</w:t>
      </w:r>
      <w:r>
        <w:rPr>
          <w:rFonts w:hint="eastAsia" w:ascii="仿宋" w:hAnsi="仿宋" w:eastAsia="仿宋" w:cs="仿宋"/>
          <w:sz w:val="24"/>
          <w:highlight w:val="none"/>
          <w:lang w:val="en-US" w:eastAsia="zh-CN"/>
        </w:rPr>
        <w:t>顺序</w:t>
      </w:r>
      <w:r>
        <w:rPr>
          <w:rFonts w:hint="eastAsia" w:ascii="仿宋" w:hAnsi="仿宋" w:eastAsia="仿宋" w:cs="仿宋"/>
          <w:sz w:val="24"/>
          <w:highlight w:val="none"/>
        </w:rPr>
        <w:t>抽取演示顺序；</w:t>
      </w:r>
    </w:p>
    <w:p w14:paraId="415BBD9F">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递交</w:t>
      </w:r>
      <w:r>
        <w:rPr>
          <w:rFonts w:hint="eastAsia" w:ascii="仿宋" w:hAnsi="仿宋" w:eastAsia="仿宋" w:cs="仿宋"/>
          <w:sz w:val="24"/>
          <w:highlight w:val="none"/>
          <w:lang w:val="en-US" w:eastAsia="zh-CN"/>
        </w:rPr>
        <w:t>投标文件</w:t>
      </w:r>
      <w:r>
        <w:rPr>
          <w:rFonts w:hint="eastAsia" w:ascii="仿宋" w:hAnsi="仿宋" w:eastAsia="仿宋" w:cs="仿宋"/>
          <w:sz w:val="24"/>
          <w:highlight w:val="none"/>
        </w:rPr>
        <w:t>及其电子版；</w:t>
      </w:r>
    </w:p>
    <w:p w14:paraId="25930A10">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宣读投标人声明函；</w:t>
      </w:r>
    </w:p>
    <w:p w14:paraId="67683DF2">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lang w:val="en-US" w:eastAsia="zh-CN"/>
        </w:rPr>
        <w:t>投标人离场，公布资质审核结果；</w:t>
      </w:r>
    </w:p>
    <w:p w14:paraId="0ECF61AD">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开启投标文件袋</w:t>
      </w:r>
      <w:r>
        <w:rPr>
          <w:rFonts w:hint="eastAsia" w:ascii="仿宋" w:hAnsi="仿宋" w:eastAsia="仿宋" w:cs="仿宋"/>
          <w:sz w:val="24"/>
          <w:highlight w:val="none"/>
          <w:lang w:eastAsia="zh-CN"/>
        </w:rPr>
        <w:t>，</w:t>
      </w:r>
      <w:r>
        <w:rPr>
          <w:rFonts w:hint="eastAsia" w:ascii="仿宋" w:hAnsi="仿宋" w:eastAsia="仿宋" w:cs="仿宋"/>
          <w:sz w:val="24"/>
          <w:highlight w:val="none"/>
        </w:rPr>
        <w:t>讲解PPT并答疑</w:t>
      </w:r>
      <w:r>
        <w:rPr>
          <w:rFonts w:hint="eastAsia" w:ascii="仿宋" w:hAnsi="仿宋" w:eastAsia="仿宋" w:cs="仿宋"/>
          <w:sz w:val="24"/>
          <w:highlight w:val="none"/>
          <w:lang w:eastAsia="zh-CN"/>
        </w:rPr>
        <w:t>；</w:t>
      </w:r>
    </w:p>
    <w:p w14:paraId="2309ED02">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集中唱标；</w:t>
      </w:r>
    </w:p>
    <w:p w14:paraId="1FF5A8F4">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议价环节；</w:t>
      </w:r>
    </w:p>
    <w:p w14:paraId="08FE3FB8">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最终报价</w:t>
      </w:r>
      <w:r>
        <w:rPr>
          <w:rFonts w:hint="eastAsia" w:ascii="仿宋" w:hAnsi="仿宋" w:eastAsia="仿宋" w:cs="仿宋"/>
          <w:sz w:val="24"/>
          <w:highlight w:val="none"/>
          <w:lang w:val="en-US" w:eastAsia="zh-CN"/>
        </w:rPr>
        <w:t>；</w:t>
      </w:r>
    </w:p>
    <w:p w14:paraId="5891E6A4">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lang w:val="en-US" w:eastAsia="zh-CN"/>
        </w:rPr>
        <w:t>磋商（若有）；</w:t>
      </w:r>
    </w:p>
    <w:p w14:paraId="7E6D349E">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综合评审</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磋商后预计5个工作日内</w:t>
      </w:r>
      <w:r>
        <w:rPr>
          <w:rFonts w:hint="eastAsia" w:ascii="仿宋" w:hAnsi="仿宋" w:eastAsia="仿宋" w:cs="仿宋"/>
          <w:sz w:val="24"/>
          <w:highlight w:val="none"/>
          <w:lang w:eastAsia="zh-CN"/>
        </w:rPr>
        <w:t>）；</w:t>
      </w:r>
    </w:p>
    <w:p w14:paraId="397ABCDC">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lang w:val="en-US" w:eastAsia="zh-CN"/>
        </w:rPr>
        <w:t>公示</w:t>
      </w:r>
      <w:r>
        <w:rPr>
          <w:rFonts w:hint="eastAsia" w:ascii="仿宋" w:hAnsi="仿宋" w:eastAsia="仿宋" w:cs="仿宋"/>
          <w:sz w:val="24"/>
          <w:highlight w:val="none"/>
        </w:rPr>
        <w:t>成交供应商</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预计10个工作日</w:t>
      </w:r>
      <w:r>
        <w:rPr>
          <w:rFonts w:hint="eastAsia" w:ascii="仿宋" w:hAnsi="仿宋" w:eastAsia="仿宋" w:cs="仿宋"/>
          <w:sz w:val="24"/>
          <w:highlight w:val="none"/>
          <w:lang w:eastAsia="zh-CN"/>
        </w:rPr>
        <w:t>）；</w:t>
      </w:r>
    </w:p>
    <w:p w14:paraId="2914B9C9">
      <w:pPr>
        <w:numPr>
          <w:ilvl w:val="1"/>
          <w:numId w:val="21"/>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lang w:val="en-US" w:eastAsia="zh-CN"/>
        </w:rPr>
        <w:t>签订合同、执行项目。</w:t>
      </w:r>
    </w:p>
    <w:p w14:paraId="33EE4AC3">
      <w:pPr>
        <w:keepNext/>
        <w:keepLines/>
        <w:numPr>
          <w:ilvl w:val="0"/>
          <w:numId w:val="7"/>
        </w:numPr>
        <w:shd w:val="clear"/>
        <w:tabs>
          <w:tab w:val="left" w:pos="720"/>
          <w:tab w:val="right" w:pos="8645"/>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123" w:name="_Toc24275"/>
      <w:bookmarkStart w:id="124" w:name="_Toc1821"/>
      <w:bookmarkStart w:id="125" w:name="_Toc25300"/>
      <w:bookmarkStart w:id="126" w:name="_Toc26661"/>
      <w:bookmarkStart w:id="127" w:name="_Toc30944"/>
      <w:r>
        <w:rPr>
          <w:rFonts w:hint="eastAsia" w:ascii="仿宋" w:hAnsi="仿宋" w:eastAsia="仿宋" w:cs="仿宋"/>
          <w:b/>
          <w:kern w:val="0"/>
          <w:sz w:val="24"/>
          <w:highlight w:val="none"/>
        </w:rPr>
        <w:t>评标方式</w:t>
      </w:r>
      <w:r>
        <w:rPr>
          <w:rFonts w:hint="eastAsia" w:ascii="仿宋" w:hAnsi="仿宋" w:eastAsia="仿宋" w:cs="仿宋"/>
          <w:b/>
          <w:kern w:val="0"/>
          <w:sz w:val="24"/>
          <w:highlight w:val="none"/>
          <w:lang w:val="en-US" w:eastAsia="zh-CN"/>
        </w:rPr>
        <w:t>及标准</w:t>
      </w:r>
      <w:bookmarkEnd w:id="123"/>
      <w:bookmarkEnd w:id="124"/>
      <w:bookmarkEnd w:id="125"/>
      <w:bookmarkEnd w:id="126"/>
      <w:bookmarkEnd w:id="127"/>
      <w:r>
        <w:rPr>
          <w:rFonts w:hint="eastAsia" w:ascii="仿宋" w:hAnsi="仿宋" w:eastAsia="仿宋" w:cs="仿宋"/>
          <w:b/>
          <w:kern w:val="0"/>
          <w:sz w:val="24"/>
          <w:highlight w:val="none"/>
          <w:lang w:val="en-US" w:eastAsia="zh-CN"/>
        </w:rPr>
        <w:tab/>
      </w:r>
    </w:p>
    <w:p w14:paraId="1DAF8B6F">
      <w:pPr>
        <w:numPr>
          <w:ilvl w:val="0"/>
          <w:numId w:val="0"/>
        </w:numPr>
        <w:shd w:val="clear"/>
        <w:spacing w:line="360" w:lineRule="auto"/>
        <w:ind w:leftChars="0"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综合评估法，对商务资质、技术方案、实施周期、售后服务、价格等综合评审，按得分由高到低确定中标候选人。</w:t>
      </w:r>
    </w:p>
    <w:tbl>
      <w:tblPr>
        <w:tblStyle w:val="19"/>
        <w:tblW w:w="103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7"/>
        <w:gridCol w:w="1402"/>
        <w:gridCol w:w="8280"/>
      </w:tblGrid>
      <w:tr w14:paraId="290DB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0329"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865F989">
            <w:pPr>
              <w:keepNext w:val="0"/>
              <w:keepLines w:val="0"/>
              <w:widowControl/>
              <w:suppressLineNumbers w:val="0"/>
              <w:spacing w:before="0" w:beforeAutospacing="0" w:after="0" w:afterAutospacing="0"/>
              <w:ind w:left="0" w:right="0"/>
              <w:jc w:val="center"/>
              <w:textAlignment w:val="top"/>
              <w:rPr>
                <w:rFonts w:hint="eastAsia" w:ascii="仿宋" w:hAnsi="仿宋" w:eastAsia="仿宋" w:cs="仿宋"/>
                <w:b/>
                <w:bCs/>
                <w:i w:val="0"/>
                <w:iCs w:val="0"/>
                <w:color w:val="000000"/>
                <w:sz w:val="36"/>
                <w:szCs w:val="36"/>
                <w:highlight w:val="none"/>
                <w:u w:val="none"/>
              </w:rPr>
            </w:pPr>
            <w:r>
              <w:rPr>
                <w:rFonts w:hint="eastAsia" w:ascii="仿宋" w:hAnsi="仿宋" w:eastAsia="仿宋" w:cs="仿宋"/>
                <w:b/>
                <w:bCs/>
                <w:i w:val="0"/>
                <w:iCs w:val="0"/>
                <w:color w:val="000000"/>
                <w:kern w:val="0"/>
                <w:sz w:val="32"/>
                <w:szCs w:val="32"/>
                <w:highlight w:val="none"/>
                <w:u w:val="none"/>
                <w:lang w:val="en-US" w:eastAsia="zh-CN" w:bidi="ar"/>
              </w:rPr>
              <w:t>医保智能审核和DRG精细化管理系统建设项目评分标准</w:t>
            </w:r>
            <w:r>
              <w:rPr>
                <w:rFonts w:hint="eastAsia" w:ascii="仿宋" w:hAnsi="仿宋" w:eastAsia="仿宋" w:cs="仿宋"/>
                <w:b/>
                <w:bCs/>
                <w:i w:val="0"/>
                <w:iCs w:val="0"/>
                <w:color w:val="000000"/>
                <w:kern w:val="0"/>
                <w:sz w:val="24"/>
                <w:szCs w:val="24"/>
                <w:highlight w:val="none"/>
                <w:u w:val="none"/>
                <w:lang w:val="en-US" w:eastAsia="zh-CN" w:bidi="ar"/>
              </w:rPr>
              <w:br w:type="textWrapping"/>
            </w:r>
            <w:r>
              <w:rPr>
                <w:rStyle w:val="48"/>
                <w:rFonts w:ascii="仿宋" w:hAnsi="仿宋" w:eastAsia="仿宋" w:cs="仿宋"/>
                <w:highlight w:val="none"/>
                <w:lang w:val="en-US" w:eastAsia="zh-CN" w:bidi="ar"/>
              </w:rPr>
              <w:t>（三博脑科医院管理集团股份有限公司-成都三博东篱医院）</w:t>
            </w:r>
          </w:p>
        </w:tc>
      </w:tr>
      <w:tr w14:paraId="3E351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6971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标人不得以低于成本的报价竞标。如果评标委员会发现投标人的报价明显低于其他投标报价,使得投标报价可能低于其成本的,将要求该投标人作书面说明并提供相关证明材料。投标人不能合理说明或不能提供相关证明材料的,评标委员会将认定该投标人以低于成本报价竞标,其投标作无效投标处理。</w:t>
            </w:r>
          </w:p>
        </w:tc>
      </w:tr>
      <w:tr w14:paraId="434AC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0B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权重</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4F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项目及分值</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DB6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评分细则与标准</w:t>
            </w:r>
          </w:p>
        </w:tc>
      </w:tr>
      <w:tr w14:paraId="7253C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2704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一、商务部分 (19+2分)</w:t>
            </w:r>
          </w:p>
        </w:tc>
      </w:tr>
      <w:tr w14:paraId="5046A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CA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3B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营业执照合规（1分）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9E5D">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yellow"/>
                <w:u w:val="none"/>
                <w:lang w:val="en-US" w:eastAsia="zh-CN" w:bidi="ar"/>
              </w:rPr>
              <w:t>具备独立法人资格，营业执照经营范围包含“数据处理服务”“技术开发”“软件开发”“软件销售”相关内容，证照齐全且在有效期内得1分，否则不得分。</w:t>
            </w:r>
          </w:p>
        </w:tc>
      </w:tr>
      <w:tr w14:paraId="28456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EE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72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投标人规模</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（1分）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23F9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根据投标人综合实力按以下标准累计计分，最高得1分：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1. 注册资本≥1000万元，得0.3分；500万元≤注册资本＜1000万元，得0.2分；注册资本＜500万元，得0.1分；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 员工总人数≥80人，得0.3分；50人≤员工总人数＜80人，得0.2分；30人≤员工总人数＜50人，得0.1分；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 社保参保人数≥50人，得0.4分；30人≤社保参保人数＜50人，得0.2分；社保参保人数＜30人，不得分。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注：需提供营业执照（体现注册资本）、社保缴纳证明（近3个月）、企业人员花名册（加盖公章）作为佐证材料，未按要求提供对应项不得分。</w:t>
            </w:r>
          </w:p>
        </w:tc>
      </w:tr>
      <w:tr w14:paraId="72F7A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29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29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典型用户案例（8分）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B982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投标人提供2024年1月1日以后全国综合性三级及以上医院DRG精细化管理系统、医保智能审核系统的实施案例（需提供合同复印件加盖公章，含封面、标的清单、金额、签字盖章页）。每提供1家得2分，最高得8分；</w:t>
            </w:r>
            <w:r>
              <w:rPr>
                <w:rFonts w:hint="eastAsia" w:ascii="仿宋" w:hAnsi="仿宋" w:eastAsia="仿宋" w:cs="仿宋"/>
                <w:b/>
                <w:bCs/>
                <w:i w:val="0"/>
                <w:iCs w:val="0"/>
                <w:color w:val="000000"/>
                <w:kern w:val="0"/>
                <w:sz w:val="22"/>
                <w:szCs w:val="22"/>
                <w:highlight w:val="none"/>
                <w:u w:val="none"/>
                <w:lang w:val="en-US" w:eastAsia="zh-CN" w:bidi="ar"/>
              </w:rPr>
              <w:t>无符合要求的案例直接取消投标资格。</w:t>
            </w:r>
          </w:p>
        </w:tc>
      </w:tr>
      <w:tr w14:paraId="59367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5B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E6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投标人信誉</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（1分）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0F3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投标人具有国家认可的信誉机构颁发的守信用证明，提供得1分，不提供不得分；例如：国家工商局、银行等</w:t>
            </w:r>
          </w:p>
        </w:tc>
      </w:tr>
      <w:tr w14:paraId="0B688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BF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60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产品自主知识产权</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E19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投标人所投软件产品必须拥有产品的自主知识产权，并提供DRG系统软件产品著作权证书，每提供一个得2分，最高得4分；</w:t>
            </w:r>
            <w:r>
              <w:rPr>
                <w:rFonts w:hint="eastAsia" w:ascii="仿宋" w:hAnsi="仿宋" w:eastAsia="仿宋" w:cs="仿宋"/>
                <w:b/>
                <w:bCs/>
                <w:i w:val="0"/>
                <w:iCs w:val="0"/>
                <w:color w:val="000000"/>
                <w:kern w:val="0"/>
                <w:sz w:val="22"/>
                <w:szCs w:val="22"/>
                <w:highlight w:val="none"/>
                <w:u w:val="none"/>
                <w:lang w:val="en-US" w:eastAsia="zh-CN" w:bidi="ar"/>
              </w:rPr>
              <w:t>无对应软著直接否决投标。</w:t>
            </w:r>
          </w:p>
        </w:tc>
      </w:tr>
      <w:tr w14:paraId="31A67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55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64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企业认证</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1B5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投标人拥有省级高新技术企业资质证书、软件企业认定证书，每提供1个证书得1分，最高得2分</w:t>
            </w:r>
          </w:p>
        </w:tc>
      </w:tr>
      <w:tr w14:paraId="46FA9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60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4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 xml:space="preserve">合作经验 </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062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投标人具有四川省或成都市医保局合作经验，提供相关证明材料（如合作协议、中标通知书、合同复印件等加盖公章），得2分。</w:t>
            </w:r>
          </w:p>
        </w:tc>
      </w:tr>
      <w:tr w14:paraId="5FA0E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187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AC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 xml:space="preserve">增值服务 </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F94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投标人提供增值服务，经招标人评判，认定符合增值服务的加2分</w:t>
            </w:r>
          </w:p>
        </w:tc>
      </w:tr>
      <w:tr w14:paraId="36FBE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C9FD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二、技术评分（51+5分）</w:t>
            </w:r>
          </w:p>
        </w:tc>
      </w:tr>
      <w:tr w14:paraId="4E2D4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4BF9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A8C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技术能力</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（5分）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9FC9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需对本次项目需求理解完整，设计方案对四川省及成都市医保及DRG现状充分评估，提供完整的方案。提供方案中需体现功能完整性（覆盖DRG所有业务，最大化提供功能模块）、操作可行性并考虑医保和DRG政策调整，评分范围：0-3分。</w:t>
            </w:r>
          </w:p>
        </w:tc>
      </w:tr>
      <w:tr w14:paraId="13F52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321D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5822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93D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系统架构设计灵活性，人机交互界面友好、操作简单快捷，数据结构科学、合理，可扩展性强，评分范围：0-2分。</w:t>
            </w:r>
          </w:p>
        </w:tc>
      </w:tr>
      <w:tr w14:paraId="038C0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DC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3A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参数偏离</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（20+5分）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DEB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 对照第三章技术要求中标注★的非★★功能项，全部满足且无负偏离得20分，每出现1项负偏离扣1分，扣完为止；</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b/>
                <w:bCs/>
                <w:i w:val="0"/>
                <w:iCs w:val="0"/>
                <w:color w:val="000000"/>
                <w:kern w:val="0"/>
                <w:sz w:val="22"/>
                <w:szCs w:val="22"/>
                <w:highlight w:val="none"/>
                <w:u w:val="none"/>
                <w:lang w:val="en-US" w:eastAsia="zh-CN" w:bidi="ar"/>
              </w:rPr>
              <w:t>2. 标注★★的功能项为实质性要求，任意一项不满足直接否决投标；</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 系统存在正偏离或提供超出招标要求的功能，根据业务价值由评委酌情加0-5分，总分超过100分按100分计。</w:t>
            </w:r>
          </w:p>
        </w:tc>
      </w:tr>
      <w:tr w14:paraId="6411D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7C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65D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实施方案</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（14分）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1783">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提供项目实施方案，内容主要包含：项目实施计划、项目实施要点、项目经理（水平、资质、实施DRG的案例医院），项目实施过程中更换项目经理机制。项目验收合格后，投标人提供至少1名全程参与本项目实施的工程师驻场3个月。最高得分14分。</w:t>
            </w:r>
          </w:p>
        </w:tc>
      </w:tr>
      <w:tr w14:paraId="29649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8491B">
            <w:pPr>
              <w:keepNext w:val="0"/>
              <w:keepLines w:val="0"/>
              <w:widowControl/>
              <w:suppressLineNumbers w:val="0"/>
              <w:spacing w:before="0" w:beforeAutospacing="0" w:after="0" w:afterAutospacing="0"/>
              <w:ind w:left="0" w:right="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34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售后服务</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（8分）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E3DD">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1）投标人承诺提供7*24级别的售后服务，提供得1分，否则不得分；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2）投标人承诺在故障报修后，通过其它途径无法处理故障时，厂商应承诺在报修后（1至2小时）赶赴现场，恢复系统的正常运作，提供得1分，否则不得分；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3)投标人承诺对已购买的系统提供终身免费升级服务，包含由国家政策性调整所产生的需求，都将免费完善需求并按时提供升级服务，提供得1分，否则不得分；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4）投标人承诺在收到院方需求，24小时内给出解决方案，对于一些复杂的需求，厂商应在48小时内安排需求工程师赶赴现场开展需求调研工作，评估后给出具体的解决方案，提供得1分，否则不得分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5）投标人在成都市或四川省范围内有公司或具备服务能力，作为承担售后服务工作的常驻服务机构，成都市内得2分，四川省内成都市外得1分，不提供不得分；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6）该项目的实施人员必须为投标人所在单位的正式员工，具有DRG系统项目三年以上实施经验，并全程参与成都三博东篱医院DRG系统的实施；投标人需提供实施人员3年的连续社保证明、实施过医院的客户证明（盖公章），每提供1人得1分，最高得2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b/>
                <w:bCs/>
                <w:i w:val="0"/>
                <w:iCs w:val="0"/>
                <w:color w:val="000000"/>
                <w:kern w:val="0"/>
                <w:sz w:val="22"/>
                <w:szCs w:val="22"/>
                <w:highlight w:val="none"/>
                <w:u w:val="none"/>
                <w:lang w:val="en-US" w:eastAsia="zh-CN" w:bidi="ar"/>
              </w:rPr>
              <w:t>未承诺免费服务期≥1年、7×24支持、重大问题2小时响应、一般问题24小时解决，对应项按0分计。</w:t>
            </w:r>
          </w:p>
        </w:tc>
      </w:tr>
      <w:tr w14:paraId="471BC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0E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15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系统接口</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6960">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能够与第三方系统无缝对接（例如：HIS系统、集成平台），并自愿承担接口开发工作。提供得4分，最高得4分，不提供不得分。</w:t>
            </w:r>
          </w:p>
        </w:tc>
      </w:tr>
      <w:tr w14:paraId="338D2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D171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三、价格评分（30分）</w:t>
            </w:r>
          </w:p>
        </w:tc>
      </w:tr>
      <w:tr w14:paraId="3CBF2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35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0A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投标报价分(30分)</w:t>
            </w:r>
          </w:p>
        </w:tc>
        <w:tc>
          <w:tcPr>
            <w:tcW w:w="8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5CF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基准价：供应商有效最终报价的最低价；投标报价得分：基准价/投标报价×30%×100；最高得30分；投标报价得分保留两位小数</w:t>
            </w:r>
          </w:p>
        </w:tc>
      </w:tr>
    </w:tbl>
    <w:p w14:paraId="2BE4CAD2">
      <w:pPr>
        <w:numPr>
          <w:ilvl w:val="0"/>
          <w:numId w:val="0"/>
        </w:numPr>
        <w:shd w:val="clear"/>
        <w:spacing w:line="360" w:lineRule="auto"/>
        <w:ind w:leftChars="0" w:firstLine="480" w:firstLineChars="200"/>
        <w:rPr>
          <w:rFonts w:hint="eastAsia" w:ascii="仿宋" w:hAnsi="仿宋" w:eastAsia="仿宋" w:cs="仿宋"/>
          <w:kern w:val="0"/>
          <w:sz w:val="24"/>
          <w:highlight w:val="none"/>
        </w:rPr>
      </w:pPr>
    </w:p>
    <w:p w14:paraId="52BF6E17">
      <w:pPr>
        <w:numPr>
          <w:ilvl w:val="0"/>
          <w:numId w:val="0"/>
        </w:numPr>
        <w:spacing w:line="400" w:lineRule="exact"/>
        <w:ind w:firstLine="0" w:firstLineChars="0"/>
        <w:outlineLvl w:val="9"/>
        <w:rPr>
          <w:rFonts w:hint="eastAsia" w:ascii="仿宋" w:hAnsi="仿宋" w:eastAsia="仿宋" w:cs="仿宋"/>
          <w:b/>
          <w:bCs/>
          <w:sz w:val="24"/>
          <w:highlight w:val="none"/>
          <w:lang w:eastAsia="zh-CN"/>
        </w:rPr>
      </w:pPr>
      <w:bookmarkStart w:id="128" w:name="_Toc4159"/>
      <w:bookmarkStart w:id="129" w:name="_Toc27971"/>
      <w:r>
        <w:rPr>
          <w:rFonts w:hint="eastAsia" w:ascii="仿宋" w:hAnsi="仿宋" w:eastAsia="仿宋" w:cs="仿宋"/>
          <w:b/>
          <w:bCs/>
          <w:sz w:val="24"/>
          <w:highlight w:val="none"/>
          <w:lang w:eastAsia="zh-CN"/>
        </w:rPr>
        <w:t>评分补充说明：</w:t>
      </w:r>
    </w:p>
    <w:p w14:paraId="561ACB42">
      <w:pPr>
        <w:numPr>
          <w:ilvl w:val="0"/>
          <w:numId w:val="22"/>
        </w:numPr>
        <w:spacing w:line="400" w:lineRule="exact"/>
        <w:ind w:left="420" w:hanging="420" w:firstLineChars="0"/>
        <w:outlineLvl w:val="9"/>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技术评分将分别对DRG精细化管理系统、医保智能审核系统进行独立核验：技术能力、参数偏离、实施方案、售后服务、价格评分项均按系统单独计分，任一系统实质性条款（★★）不满足即否决对应系统投标资格，不影响另一系统评审。</w:t>
      </w:r>
    </w:p>
    <w:p w14:paraId="255A9306">
      <w:pPr>
        <w:numPr>
          <w:ilvl w:val="0"/>
          <w:numId w:val="22"/>
        </w:numPr>
        <w:spacing w:line="400" w:lineRule="exact"/>
        <w:ind w:left="420" w:hanging="420" w:firstLineChars="0"/>
        <w:outlineLvl w:val="9"/>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商务评分中「典型用户案例」项，若分系统投标，分别核算各系统对应案例得分，合并计算总案例得分。</w:t>
      </w:r>
    </w:p>
    <w:p w14:paraId="62BE20E1">
      <w:pPr>
        <w:numPr>
          <w:ilvl w:val="0"/>
          <w:numId w:val="22"/>
        </w:numPr>
        <w:spacing w:line="400" w:lineRule="exact"/>
        <w:ind w:left="420" w:hanging="420" w:firstLineChars="0"/>
        <w:outlineLvl w:val="9"/>
        <w:rPr>
          <w:rFonts w:hint="eastAsia" w:ascii="仿宋" w:hAnsi="仿宋" w:eastAsia="仿宋" w:cs="仿宋"/>
          <w:sz w:val="24"/>
          <w:highlight w:val="none"/>
        </w:rPr>
      </w:pPr>
      <w:r>
        <w:rPr>
          <w:rFonts w:hint="eastAsia" w:ascii="仿宋" w:hAnsi="仿宋" w:eastAsia="仿宋" w:cs="仿宋"/>
          <w:sz w:val="24"/>
          <w:highlight w:val="none"/>
          <w:lang w:eastAsia="zh-CN"/>
        </w:rPr>
        <w:t>若分系统确定中标人，合同金额以各系统中标报价为准，分别签订、独立履约。</w:t>
      </w:r>
      <w:r>
        <w:rPr>
          <w:rFonts w:hint="eastAsia" w:ascii="仿宋" w:hAnsi="仿宋" w:eastAsia="仿宋" w:cs="仿宋"/>
          <w:sz w:val="24"/>
          <w:highlight w:val="none"/>
          <w:lang w:eastAsia="zh-CN"/>
        </w:rPr>
        <w:br w:type="page"/>
      </w:r>
    </w:p>
    <w:p w14:paraId="572D70CF">
      <w:pPr>
        <w:pStyle w:val="2"/>
        <w:numPr>
          <w:ilvl w:val="0"/>
          <w:numId w:val="23"/>
        </w:numPr>
        <w:shd w:val="clear"/>
        <w:tabs>
          <w:tab w:val="left" w:pos="3176"/>
        </w:tabs>
        <w:rPr>
          <w:rFonts w:hint="eastAsia" w:ascii="仿宋" w:hAnsi="仿宋" w:eastAsia="仿宋" w:cs="仿宋"/>
          <w:sz w:val="24"/>
          <w:highlight w:val="none"/>
        </w:rPr>
      </w:pPr>
      <w:bookmarkStart w:id="130" w:name="_Toc32579"/>
      <w:bookmarkStart w:id="131" w:name="_Toc31507"/>
      <w:bookmarkStart w:id="132" w:name="_Toc20887"/>
      <w:bookmarkStart w:id="133" w:name="_Toc27974"/>
      <w:r>
        <w:rPr>
          <w:rFonts w:hint="eastAsia" w:ascii="仿宋" w:hAnsi="仿宋" w:eastAsia="仿宋" w:cs="仿宋"/>
          <w:sz w:val="24"/>
          <w:highlight w:val="none"/>
        </w:rPr>
        <w:t>技术要求</w:t>
      </w:r>
      <w:bookmarkEnd w:id="128"/>
      <w:bookmarkEnd w:id="129"/>
      <w:bookmarkEnd w:id="130"/>
      <w:bookmarkEnd w:id="131"/>
      <w:bookmarkEnd w:id="132"/>
      <w:bookmarkEnd w:id="133"/>
    </w:p>
    <w:p w14:paraId="2310FEA1">
      <w:pPr>
        <w:keepNext/>
        <w:keepLines/>
        <w:numPr>
          <w:ilvl w:val="0"/>
          <w:numId w:val="24"/>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134" w:name="_Toc23228"/>
      <w:bookmarkStart w:id="135" w:name="_Toc13028"/>
      <w:bookmarkStart w:id="136" w:name="_Toc21116"/>
      <w:bookmarkStart w:id="137" w:name="_Toc30006"/>
      <w:bookmarkStart w:id="138" w:name="_Toc29227"/>
      <w:bookmarkStart w:id="139" w:name="OLE_LINK1"/>
      <w:r>
        <w:rPr>
          <w:rFonts w:hint="eastAsia" w:ascii="仿宋" w:hAnsi="仿宋" w:eastAsia="仿宋" w:cs="仿宋"/>
          <w:b/>
          <w:kern w:val="0"/>
          <w:sz w:val="24"/>
          <w:highlight w:val="none"/>
        </w:rPr>
        <w:t>总体建设要求</w:t>
      </w:r>
      <w:bookmarkEnd w:id="134"/>
      <w:bookmarkEnd w:id="135"/>
      <w:bookmarkEnd w:id="136"/>
      <w:bookmarkEnd w:id="137"/>
      <w:bookmarkEnd w:id="138"/>
    </w:p>
    <w:p w14:paraId="62249DE5">
      <w:pPr>
        <w:numPr>
          <w:ilvl w:val="0"/>
          <w:numId w:val="0"/>
        </w:numPr>
        <w:shd w:val="clear"/>
        <w:spacing w:line="400" w:lineRule="exact"/>
        <w:ind w:left="0" w:leftChars="0" w:firstLine="420" w:firstLineChars="175"/>
        <w:outlineLvl w:val="9"/>
        <w:rPr>
          <w:rFonts w:hint="eastAsia" w:ascii="仿宋" w:hAnsi="仿宋" w:eastAsia="仿宋" w:cs="仿宋"/>
          <w:sz w:val="24"/>
          <w:highlight w:val="none"/>
        </w:rPr>
      </w:pPr>
      <w:r>
        <w:rPr>
          <w:rFonts w:hint="eastAsia" w:ascii="仿宋" w:hAnsi="仿宋" w:eastAsia="仿宋" w:cs="仿宋"/>
          <w:sz w:val="24"/>
          <w:highlight w:val="none"/>
        </w:rPr>
        <w:t>本项目需构建「事前提醒-事中管控-事后分析」的全流程DRG及医保智能审核体系，实现与医院现有HIS、病案系统等核心业务系统的无缝对接，达成以下目标：</w:t>
      </w:r>
    </w:p>
    <w:p w14:paraId="5EED6B58">
      <w:pPr>
        <w:numPr>
          <w:ilvl w:val="0"/>
          <w:numId w:val="25"/>
        </w:numPr>
        <w:shd w:val="clear"/>
        <w:spacing w:line="400" w:lineRule="exact"/>
        <w:ind w:left="420" w:leftChars="0" w:hanging="420" w:firstLineChars="0"/>
        <w:outlineLvl w:val="9"/>
        <w:rPr>
          <w:rFonts w:hint="eastAsia" w:ascii="仿宋" w:hAnsi="仿宋" w:eastAsia="仿宋" w:cs="仿宋"/>
          <w:sz w:val="24"/>
          <w:highlight w:val="none"/>
        </w:rPr>
      </w:pPr>
      <w:r>
        <w:rPr>
          <w:rFonts w:hint="eastAsia" w:ascii="仿宋" w:hAnsi="仿宋" w:eastAsia="仿宋" w:cs="仿宋"/>
          <w:sz w:val="24"/>
          <w:highlight w:val="none"/>
        </w:rPr>
        <w:t>合规管控：全覆盖国家、四川省医保局最新审核规则与DRG支付政策，实时拦截违规收费、不合理诊疗行为，降低医保拒付风险；</w:t>
      </w:r>
    </w:p>
    <w:p w14:paraId="1F54049E">
      <w:pPr>
        <w:numPr>
          <w:ilvl w:val="0"/>
          <w:numId w:val="25"/>
        </w:numPr>
        <w:shd w:val="clear"/>
        <w:spacing w:line="400" w:lineRule="exact"/>
        <w:ind w:left="420" w:leftChars="0" w:hanging="420" w:firstLineChars="0"/>
        <w:outlineLvl w:val="9"/>
        <w:rPr>
          <w:rFonts w:hint="eastAsia" w:ascii="仿宋" w:hAnsi="仿宋" w:eastAsia="仿宋" w:cs="仿宋"/>
          <w:sz w:val="24"/>
          <w:highlight w:val="none"/>
        </w:rPr>
      </w:pPr>
      <w:r>
        <w:rPr>
          <w:rFonts w:hint="eastAsia" w:ascii="仿宋" w:hAnsi="仿宋" w:eastAsia="仿宋" w:cs="仿宋"/>
          <w:sz w:val="24"/>
          <w:highlight w:val="none"/>
        </w:rPr>
        <w:t>精准分组：支持本地DRG分组规则适配，实现在院病例实时预分组、盈亏预警，辅助临床优化诊疗路径；</w:t>
      </w:r>
    </w:p>
    <w:p w14:paraId="5993A538">
      <w:pPr>
        <w:numPr>
          <w:ilvl w:val="0"/>
          <w:numId w:val="25"/>
        </w:numPr>
        <w:shd w:val="clear"/>
        <w:spacing w:line="400" w:lineRule="exact"/>
        <w:ind w:left="420" w:leftChars="0" w:hanging="420" w:firstLineChars="0"/>
        <w:outlineLvl w:val="9"/>
        <w:rPr>
          <w:rFonts w:hint="eastAsia" w:ascii="仿宋" w:hAnsi="仿宋" w:eastAsia="仿宋" w:cs="仿宋"/>
          <w:sz w:val="24"/>
          <w:highlight w:val="none"/>
        </w:rPr>
      </w:pPr>
      <w:r>
        <w:rPr>
          <w:rFonts w:hint="eastAsia" w:ascii="仿宋" w:hAnsi="仿宋" w:eastAsia="仿宋" w:cs="仿宋"/>
          <w:sz w:val="24"/>
          <w:highlight w:val="none"/>
        </w:rPr>
        <w:t>管理赋能：为医院提供多维度DRG运营、医保审核、病案质量分析数据，支撑精细化运营决策；</w:t>
      </w:r>
    </w:p>
    <w:p w14:paraId="12BB0BEC">
      <w:pPr>
        <w:numPr>
          <w:ilvl w:val="0"/>
          <w:numId w:val="25"/>
        </w:numPr>
        <w:shd w:val="clear"/>
        <w:spacing w:line="400" w:lineRule="exact"/>
        <w:ind w:left="420" w:leftChars="0" w:hanging="420" w:firstLineChars="0"/>
        <w:outlineLvl w:val="9"/>
        <w:rPr>
          <w:rFonts w:hint="eastAsia" w:ascii="仿宋" w:hAnsi="仿宋" w:eastAsia="仿宋" w:cs="仿宋"/>
          <w:sz w:val="24"/>
          <w:szCs w:val="24"/>
          <w:highlight w:val="none"/>
        </w:rPr>
      </w:pPr>
      <w:r>
        <w:rPr>
          <w:rFonts w:hint="eastAsia" w:ascii="仿宋" w:hAnsi="仿宋" w:eastAsia="仿宋" w:cs="仿宋"/>
          <w:sz w:val="24"/>
          <w:highlight w:val="none"/>
        </w:rPr>
        <w:t>安全稳定：系统需满足医疗数据安全要求，支持断网续传、操作留痕，保障业务连续性。</w:t>
      </w:r>
    </w:p>
    <w:p w14:paraId="43E6D260">
      <w:pPr>
        <w:numPr>
          <w:ilvl w:val="-1"/>
          <w:numId w:val="0"/>
        </w:numPr>
        <w:shd w:val="clear"/>
        <w:spacing w:line="400" w:lineRule="exact"/>
        <w:ind w:left="0" w:leftChars="0" w:firstLine="0" w:firstLineChars="0"/>
        <w:outlineLvl w:val="9"/>
        <w:rPr>
          <w:rFonts w:hint="eastAsia" w:ascii="仿宋" w:hAnsi="仿宋" w:eastAsia="仿宋" w:cs="仿宋"/>
          <w:b/>
          <w:bCs/>
          <w:sz w:val="24"/>
          <w:szCs w:val="24"/>
          <w:highlight w:val="none"/>
        </w:rPr>
      </w:pPr>
      <w:r>
        <w:rPr>
          <w:rFonts w:hint="eastAsia" w:ascii="仿宋" w:hAnsi="仿宋" w:eastAsia="仿宋" w:cs="仿宋"/>
          <w:b/>
          <w:bCs/>
          <w:sz w:val="24"/>
          <w:highlight w:val="none"/>
          <w:lang w:val="en-US" w:eastAsia="zh-CN"/>
        </w:rPr>
        <w:t>注：</w:t>
      </w:r>
      <w:r>
        <w:rPr>
          <w:rFonts w:hint="eastAsia" w:ascii="仿宋" w:hAnsi="仿宋" w:eastAsia="仿宋" w:cs="仿宋"/>
          <w:b/>
          <w:bCs/>
          <w:sz w:val="24"/>
          <w:highlight w:val="none"/>
        </w:rPr>
        <w:t>本项目两套系统可独立运行、独立对接，也可一体化部署，投标人需在方案中明确两套系统的边界及协同机制，若分系统授标需保障后续可平滑集成。</w:t>
      </w:r>
    </w:p>
    <w:p w14:paraId="66B5600E">
      <w:pPr>
        <w:keepNext/>
        <w:keepLines/>
        <w:numPr>
          <w:ilvl w:val="0"/>
          <w:numId w:val="24"/>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140" w:name="_Toc24269"/>
      <w:bookmarkStart w:id="141" w:name="_Toc22091"/>
      <w:bookmarkStart w:id="142" w:name="_Toc18764"/>
      <w:bookmarkStart w:id="143" w:name="_Toc26503"/>
      <w:bookmarkStart w:id="144" w:name="_Toc12043"/>
      <w:r>
        <w:rPr>
          <w:rFonts w:hint="eastAsia" w:ascii="仿宋" w:hAnsi="仿宋" w:eastAsia="仿宋" w:cs="仿宋"/>
          <w:b/>
          <w:kern w:val="0"/>
          <w:sz w:val="24"/>
          <w:highlight w:val="none"/>
        </w:rPr>
        <w:t>系统建设内容</w:t>
      </w:r>
      <w:bookmarkEnd w:id="140"/>
      <w:bookmarkEnd w:id="141"/>
      <w:bookmarkEnd w:id="142"/>
      <w:bookmarkEnd w:id="143"/>
      <w:bookmarkEnd w:id="144"/>
    </w:p>
    <w:p w14:paraId="1A3A494B">
      <w:pPr>
        <w:keepNext w:val="0"/>
        <w:keepLines w:val="0"/>
        <w:numPr>
          <w:ilvl w:val="0"/>
          <w:numId w:val="26"/>
        </w:numPr>
        <w:shd w:val="clear"/>
        <w:adjustRightInd/>
        <w:spacing w:before="0" w:after="0" w:line="360" w:lineRule="auto"/>
        <w:ind w:left="720" w:hanging="360" w:firstLineChars="0"/>
        <w:jc w:val="left"/>
        <w:textAlignment w:val="auto"/>
        <w:outlineLvl w:val="9"/>
        <w:rPr>
          <w:rFonts w:hint="eastAsia" w:ascii="仿宋" w:hAnsi="仿宋" w:eastAsia="仿宋" w:cs="仿宋"/>
          <w:b w:val="0"/>
          <w:kern w:val="2"/>
          <w:sz w:val="24"/>
          <w:highlight w:val="none"/>
        </w:rPr>
      </w:pPr>
      <w:r>
        <w:rPr>
          <w:rFonts w:hint="eastAsia" w:ascii="仿宋" w:hAnsi="仿宋" w:eastAsia="仿宋" w:cs="仿宋"/>
          <w:sz w:val="24"/>
          <w:highlight w:val="none"/>
          <w:lang w:val="en-US" w:eastAsia="zh-CN"/>
        </w:rPr>
        <w:t>第一部分</w:t>
      </w:r>
      <w:r>
        <w:rPr>
          <w:rFonts w:hint="eastAsia" w:ascii="仿宋" w:hAnsi="仿宋" w:eastAsia="仿宋" w:cs="仿宋"/>
          <w:sz w:val="24"/>
          <w:highlight w:val="none"/>
        </w:rPr>
        <w:t>建设需求</w:t>
      </w:r>
    </w:p>
    <w:tbl>
      <w:tblPr>
        <w:tblStyle w:val="19"/>
        <w:tblW w:w="100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6"/>
        <w:gridCol w:w="1061"/>
        <w:gridCol w:w="1725"/>
        <w:gridCol w:w="6215"/>
      </w:tblGrid>
      <w:tr w14:paraId="709B4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617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F7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模块</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B8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功能</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42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功能描述</w:t>
            </w:r>
          </w:p>
        </w:tc>
      </w:tr>
      <w:tr w14:paraId="2FF7A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117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临床端</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2CA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门诊审核提醒</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401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▲门诊审核</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B8E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系统具有门诊处方实时审核功能。在医师开具门诊处方时自动对处方进行实时审核，筛查出可疑违规项目后及时提醒医师进行处理。</w:t>
            </w:r>
          </w:p>
        </w:tc>
      </w:tr>
      <w:tr w14:paraId="16571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EDB7">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D463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080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门特审核</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5E1E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系统具有门特处方实时审核功能。医师开具特殊门诊处方时，系统自动对处方进行实时审核，筛查出可疑违规项目后及时提醒医师进行处理。</w:t>
            </w:r>
          </w:p>
        </w:tc>
      </w:tr>
      <w:tr w14:paraId="40F47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3EEA">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D5AB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186B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▲门诊预警拦截处置</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F50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系统针对门诊提醒的违规结果，实时拦截并具有多种疑点处置方式，支持用户继续使用并填写使用理由，支持标记自费项目，支持与HIS对接取消本次开单内容，支持与HIS对接实时补充违规项目相关的医保诊断。</w:t>
            </w:r>
          </w:p>
        </w:tc>
      </w:tr>
      <w:tr w14:paraId="0BB55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1374">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99B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住院审核提醒</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CCF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住院医嘱审核</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25B8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医师开具住院医嘱时，系统实时对本次医嘱明细的医保支付限制性、医保收费合理合规性进行审核，并弹窗提示（疑似）违规信息，同时系统具有拦截处置方式。</w:t>
            </w:r>
          </w:p>
        </w:tc>
      </w:tr>
      <w:tr w14:paraId="11A25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4FD8">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4B84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8349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住院计费审核</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C49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各科室将计费项目录入HIS系统并提交保存时，HIS系统自动调用住院费用实时审核服务对待保存的收费项目进行实时审核，如有违规项目则进行实时提醒。</w:t>
            </w:r>
          </w:p>
        </w:tc>
      </w:tr>
      <w:tr w14:paraId="0BECD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6323E">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884F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A53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★医生站出院审核</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458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生在工作站中对患者进行出院操作时，系统基于医保支付限制性、医保收费合理合规性、医保管理类规则对患者本次就诊的全部费用进行全面审核，并对存在（疑似）违规项目进行提示。将不符合报销规则的费用设置可选处理为自费不纳入报销。</w:t>
            </w:r>
          </w:p>
        </w:tc>
      </w:tr>
      <w:tr w14:paraId="39640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EBA5">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181D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749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★护士站出院审核</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C5E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临床科室护士在为病人办理出院手续时，系统基于医保支付限制性、医保收费合理合规性、医保管理类规则对患者本次就诊的全部费用进行审核，并对存在（疑似）违规项目进行提示。设置强制校验项目。</w:t>
            </w:r>
          </w:p>
        </w:tc>
      </w:tr>
      <w:tr w14:paraId="5890D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25FB8">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5400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1EC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▲医保办出院审核</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B1A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支持患者出院结算前由医保办审核人员审核患者费用，对患者本次就医费用记录整体审核药品、耗材、诊疗项目相关医保规则，并展示疑似违规信息，系统支持将不符合报销规则的费用自动处理为不纳入报销。</w:t>
            </w:r>
          </w:p>
        </w:tc>
      </w:tr>
      <w:tr w14:paraId="65CEC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CE4C">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4199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E81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★住院预警拦截处置</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A8E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针对住院医嘱、计费、出院提醒的违规结果，实时拦截并具有多种疑点处置方式，支持用户继续使用并填写使用理由，支持标记自费项目，支持与HIS对接取消本次开单内容，支持与HIS对接实时补充违规项目的医保诊断。</w:t>
            </w:r>
          </w:p>
        </w:tc>
      </w:tr>
      <w:tr w14:paraId="66D7F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FBFB">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161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在院患者日审</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1E1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住院每晚预审</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ABC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每晚定时对在院医保患者的全部费用明细进行审核，并保存审核结果数据，第二天各科室医保管理员或医保办可对违规但医师认为合规的费用进行复核，或直接提醒到医护人员，由医护人员及时进行纠正，避免违规行为继续发生。</w:t>
            </w:r>
          </w:p>
        </w:tc>
      </w:tr>
      <w:tr w14:paraId="3AB58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976E0">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1091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8CE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日审违规提示</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F28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查看每晚预审违规的患者及处理进度，支持查看违规项目明细并提供疑点处理方式。</w:t>
            </w:r>
          </w:p>
        </w:tc>
      </w:tr>
      <w:tr w14:paraId="2C30D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jc w:val="center"/>
        </w:trPr>
        <w:tc>
          <w:tcPr>
            <w:tcW w:w="10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A58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管理端</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92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运营监控</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3C5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审核监控</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287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1.支持对医院审核结果、违规情况进行实时监控，监控维度包含年度、月度、日等。</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2.支持汇总查看医院整体审核情况，可分别查看门诊审核、住院审核的不同结果。</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3.提供实时的审核人数、强制保存人次数、审核明细数、强制保存明细数、审核费用、强制保存项目费用、返回修改人次数、返回修改费用等指标的汇总统计。</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支持可视化查看违规明细费用占比、不同场景的明细单量与违规明细单量月度趋势图、人工审核明细数量及违规情况、根据违规人次进行的违规规则排名top5、违规科室top5、违规项目top5、根据违规金额进行的违规规则排名top5、违规科室top5、违规项目top5。</w:t>
            </w:r>
          </w:p>
        </w:tc>
      </w:tr>
      <w:tr w14:paraId="225CA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FC5AB">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1B0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审核综合分析</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D83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审核情况总览</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D12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支持以审核时间、审核场景、院区字段做查询，展示提醒总金额、提醒项目数、提醒率，提醒情况趋势。支持按科室、医生、规则、项目4个维度所有组合情况进行下钻查看。</w:t>
            </w:r>
          </w:p>
        </w:tc>
      </w:tr>
      <w:tr w14:paraId="0981E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254C">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D168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96C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审核预警分析</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4E6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支持通过时间、审核场景、医保类型、规则等级、医师操作对预警项目做分析。从项目、规则、科室、医师多维度展示审核预警提醒情况及医师操作情况，并通过图表形式展示。</w:t>
            </w:r>
          </w:p>
        </w:tc>
      </w:tr>
      <w:tr w14:paraId="0947F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DC76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B00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审核违规分析</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F95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科室可疑违规汇总</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07D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按时间范围查看各科室的违规病例分布情况，从科室、医生、患者三大维度分析，直接对比各科室的违规频次情况、临床操作反馈情况，定位问题科室，支持违规明细，查看患者费用明细、审核详情，支持数据导出。</w:t>
            </w:r>
          </w:p>
        </w:tc>
      </w:tr>
      <w:tr w14:paraId="02F26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F7A4">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DB94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79F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▲医生可疑违规汇总</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226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支持按时间范围查看各医生的违规病例分布情况，直接对比各医生的违规频次情况，对比临床对拦截项目的各类操作占比情况，查看定位问题医生，支持违规明细，查看患者费用明细、审核详情，支持数据导出。</w:t>
            </w:r>
          </w:p>
        </w:tc>
      </w:tr>
      <w:tr w14:paraId="5D73F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99C38">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8FEC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9D6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▲规则可疑违规汇总</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D52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按时间范围查看各类规则的违规病例分布情况，从规则、项目维度直接对比各类规则的违规频次情况，对比临床对各类规则的操作占比情况，查看定位问题规则类别，支持违规明细，查看患者费用明细、审核详情，支持数据导出。</w:t>
            </w:r>
          </w:p>
        </w:tc>
      </w:tr>
      <w:tr w14:paraId="08586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CAC3">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063C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72E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▲审核疑点明细查询</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FF2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通过条件筛查住院审核记录数据，支持按违规等级筛选违规数据，支持筛选审核违规、审核通过、无规则的数据；支持查看违规病例门诊详情信息，包括患者基本信息、参保信息、就诊信息、违规规则；支持数据导出。</w:t>
            </w:r>
          </w:p>
        </w:tc>
      </w:tr>
      <w:tr w14:paraId="58BE7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9BFFE">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92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场景审核</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3A1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★场景审核</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AA2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1.支持医院根据院内管理需求设置审核场景（门诊：挂号/处方/缴费，住院：住院登记/医嘱/每日记账/转科室/预出院/出院结算），并查看单据审核情况。</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单据查询主要为医院管理者提供决策支持辅助，系统支持对已审核的所有单据进行信息查询，并支持查看单据的费用明细，实现从参保类型、就医方式、住院状态、人员类别、科室、医生、参保人、单据号等角度进行单项定义或综合查询。</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3.管理者通过查询某患者在院期间所有历史数据以及违规数据，可以跟踪分析医生的医疗行为，及时发现不合理用药、不合理检查、不合理收费行为，实现对异常违规信息的全方面监控。</w:t>
            </w:r>
          </w:p>
        </w:tc>
      </w:tr>
      <w:tr w14:paraId="6FE9F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A226">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D45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人工审核</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EFA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★★人工审核（临床）</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2F0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1.支持医院设置人工审核管理流程；</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2.支持医院对触发人工审核条件的数据在系统上进行人工查验，针对临床处理结果进行复核，并支持人工处理转违规操作。</w:t>
            </w:r>
          </w:p>
        </w:tc>
      </w:tr>
      <w:tr w14:paraId="7763B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826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6A9C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1434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审核流程配置</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C2A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支持人工审核流程配置，包括审核场景、结果类型、审核人员等配置。</w:t>
            </w:r>
          </w:p>
        </w:tc>
      </w:tr>
      <w:tr w14:paraId="080E2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311C5">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0108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C4A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审核日志</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405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系统自动记录人工审核的操作日志，便于问题追溯。</w:t>
            </w:r>
          </w:p>
        </w:tc>
      </w:tr>
      <w:tr w14:paraId="71D7F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6B2F3">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91F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医保管理</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5A1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★导入分发</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043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1.支持医保办导入医保下发的初审扣款数据；</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2.系统可自动匹配数据并分配到各个科室，也可手动分配至各个科室。</w:t>
            </w:r>
          </w:p>
        </w:tc>
      </w:tr>
      <w:tr w14:paraId="1B355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1508">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47CC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7F3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★院内反馈</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63F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1.根据系统分配结果，科室能够接收到医保办分派的医保数据，并能够查看该病例的违规情况和强制保存医嘱时填写的原因，从而辅助填写医保申诉原因；</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2.支持单条反馈和批量反馈。</w:t>
            </w:r>
          </w:p>
        </w:tc>
      </w:tr>
      <w:tr w14:paraId="55584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B8EAE">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4746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832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★医保扣费</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F12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支持查看、检索医保办导入的医保终审扣款数据。</w:t>
            </w:r>
          </w:p>
        </w:tc>
      </w:tr>
      <w:tr w14:paraId="6DE11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92749">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4206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DF88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★★模拟飞检</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E60F">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提供飞检、交叉、专项、自查自纠疑点收费项目、药品、耗材数据明细，分析。</w:t>
            </w:r>
            <w:r>
              <w:rPr>
                <w:rFonts w:hint="eastAsia" w:ascii="仿宋" w:hAnsi="仿宋" w:eastAsia="仿宋" w:cs="仿宋"/>
                <w:color w:val="000000"/>
                <w:kern w:val="0"/>
                <w:sz w:val="22"/>
                <w:szCs w:val="22"/>
                <w:highlight w:val="none"/>
                <w:u w:val="none"/>
                <w:lang w:bidi="ar"/>
              </w:rPr>
              <w:t>配套提供模拟飞检操作培训，协助医院开展常态化自查自纠及迎检准备工作，相关培训不另行收费。</w:t>
            </w:r>
          </w:p>
        </w:tc>
      </w:tr>
      <w:tr w14:paraId="313A4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BF3F">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031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决策支持</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3B9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业务分析</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8FB0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1.支持从总体业务、科室业务、医生业务等维度进行总体情况和违规情况汇总分析。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2.总体业务维度提供医院整体的审核明细量、违规明细量、审核明细费用、违规明细费用的汇总，正常单量与违规单量的占比，正常费用与违规费用的占比，违规明细数量趋势图和违规明细费用趋势图等。</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3.科室业务维度提供各科室及各科室明细的使用人次、明细单量、费用占比、违反规则等数据的统计，展示各科室的违规明细数量趋势图及违反规则排行。</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4.医生业务维度提供医生违规单量占比排名柱状图及各医生的违反规则数、违规单量占比、违规费用占比等情况。</w:t>
            </w:r>
          </w:p>
        </w:tc>
      </w:tr>
      <w:tr w14:paraId="11E10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E5063">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EAFC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DA0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违规分析</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8D1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1.系统提供灵活的违规费用分析、违反规则分析及功能，为医院对审核中存在的问题进行针对性地改善和提高提供数据依据。</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违规费用分析支持查看月度项目违规趋势柱状图、违规项目类型排名、违规项目排名和各违规项目的使用人次、使用数量、涉及科室、涉及医生等。违反规则分析从违规规则角度统计违规数量、违规数量占比、违规金额、违规金额占比等关键指标。</w:t>
            </w:r>
          </w:p>
        </w:tc>
      </w:tr>
      <w:tr w14:paraId="46043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36F6B">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F494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CD83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明细查询</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AFC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1.支持不同审核场景的单据明细项目查询。</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2.支持场景、是否违规、违规规则、项目类型等多种查询条件自定义；</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3.支持数据导出。</w:t>
            </w:r>
          </w:p>
        </w:tc>
      </w:tr>
      <w:tr w14:paraId="7CD5C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2E2C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B92B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审核管理</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D835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★规则设置</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4E5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1.提供审核规则管理，主要规则编码、规则名称、规则级别、规则数据等；</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2.提供针对医保药品、诊疗项目、医用材料等多种审核规则等。规则细类设计可以包含但不仅限于以下分类：</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1）重复收费；（2）中药饮片审核；（3）超临床常规治疗频次；（4）非基本医疗保险目录；（5）限定性别审核；（6）限儿童；（7）超限定数量；（8）超限定价格；（9）限定医院类型级别；（10）限定就医方式；（11）分解住院；（12）超限定频次；（13）违反项目匹配；（14）违反限定适应症（条件）用药等</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3.可根据需求自定义规则逻辑、添加规则数据。</w:t>
            </w:r>
          </w:p>
        </w:tc>
      </w:tr>
      <w:tr w14:paraId="1A7BF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F7C97">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B51D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74D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★场景审核配置</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751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支持医院根据院内审核需要，基于门诊、住院不同场景分别配置审核规则，以便灵活应对各场景的审核要点。</w:t>
            </w:r>
          </w:p>
        </w:tc>
      </w:tr>
      <w:tr w14:paraId="00E40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40B7">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7DEE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1CF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参数配置</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39F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1.支持不同规则配置不同的规则级别。</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2.根据规则级别的严重程度配置级别管理属性，如强制阻断、需说明等。</w:t>
            </w:r>
          </w:p>
        </w:tc>
      </w:tr>
      <w:tr w14:paraId="4CF38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19B9">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351E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系统配置中心</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BA3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信息维护</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D7A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维护系统从HIS中采集医院的医疗机构信息、科室信息、人员信息、医护人员与科室关系。</w:t>
            </w:r>
          </w:p>
        </w:tc>
      </w:tr>
      <w:tr w14:paraId="43076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7374">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C8BB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E94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权限管理</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308B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支持自定义用户角色，实现按角色分配功能权限。支持编辑、删除、复制角色信息。</w:t>
            </w:r>
          </w:p>
        </w:tc>
      </w:tr>
      <w:tr w14:paraId="2D37E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EAA3">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6DC8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60B7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参数配置</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7ED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系统具有流程参数配置功能，配置监管业务场景启停、业务流程方式、接口方式、功能菜单启停、字典设置。</w:t>
            </w:r>
          </w:p>
        </w:tc>
      </w:tr>
      <w:tr w14:paraId="6D3C0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DE5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6FE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智审规则管理</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07D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规则启停</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DBA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该功能可对系统内置的医保审核规则按不同业务场景启停，支持按医保项目或规则类别进行启停。</w:t>
            </w:r>
          </w:p>
        </w:tc>
      </w:tr>
      <w:tr w14:paraId="3DBD9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85D4">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6B88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801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提醒操作配置</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48A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具有违规疑点数据的操作选项及提醒文本配置功能，支持对不同审核场景、不同项目、不同规则自定义配置操作选项或提醒文本。配置继续使用的备案理由模板，支持配置个人模板或通用模板。</w:t>
            </w:r>
          </w:p>
        </w:tc>
      </w:tr>
      <w:tr w14:paraId="68E3F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B5FA3">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460F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F84E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规则分类管理</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5D5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具有自定义规则分类的新增、删除、编辑维护功能，支持用户自定义规则分类，配置规则所属类别。</w:t>
            </w:r>
          </w:p>
        </w:tc>
      </w:tr>
      <w:tr w14:paraId="6342A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32D7">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439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知识库管理</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E81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医保项目目录</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CD9C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支持查看和检索国家医保药品分类与代码、国家医保药品分类与代码（中药饮片）、国家医保服务项目信息、国家医保医用耗材分类与代码。</w:t>
            </w:r>
          </w:p>
        </w:tc>
      </w:tr>
      <w:tr w14:paraId="3B837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0D5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4D94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1CB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西医诊断手术</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6A2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支持查看和检索ICD-10国家临床版2.0、ICD-9-CM3国家临床版3.0、ICD-10医保版CHS1.0、ICD-10医保版CHS2.0、ICD-9CM3医保版CHS1.0、ICD-9CM3医保版CHS2.0。</w:t>
            </w:r>
          </w:p>
        </w:tc>
      </w:tr>
      <w:tr w14:paraId="628A7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3829">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63A7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F07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临床指南</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AD6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支持查看和检索临床指南、临床路径。</w:t>
            </w:r>
          </w:p>
        </w:tc>
      </w:tr>
      <w:tr w14:paraId="2C6EA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1C8AC">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8B47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8D1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说明书</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601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支持查看和检索西药药品说明书、中成药品说明书。</w:t>
            </w:r>
          </w:p>
        </w:tc>
      </w:tr>
      <w:tr w14:paraId="23F4C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A24D">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0DDF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966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智审规则</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D413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支持查看智能审核规则</w:t>
            </w:r>
          </w:p>
        </w:tc>
      </w:tr>
      <w:tr w14:paraId="2D5A5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6551">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D3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系统管理</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D4FC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★场景配置</w:t>
            </w:r>
          </w:p>
        </w:tc>
        <w:tc>
          <w:tcPr>
            <w:tcW w:w="6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9B8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支持医院根据管理需求自定义配置审核场景及对应弹框类型、对接医保接口、展示维度及形式，辅助医院日常工作流程开展全方位审核。</w:t>
            </w:r>
          </w:p>
        </w:tc>
      </w:tr>
    </w:tbl>
    <w:p w14:paraId="4D2739CB">
      <w:pPr>
        <w:keepNext w:val="0"/>
        <w:keepLines w:val="0"/>
        <w:numPr>
          <w:ilvl w:val="0"/>
          <w:numId w:val="26"/>
        </w:numPr>
        <w:shd w:val="clear"/>
        <w:adjustRightInd/>
        <w:spacing w:before="0" w:after="0" w:line="360" w:lineRule="auto"/>
        <w:ind w:left="720" w:hanging="360" w:firstLineChars="0"/>
        <w:jc w:val="left"/>
        <w:textAlignment w:val="auto"/>
        <w:outlineLvl w:val="9"/>
        <w:rPr>
          <w:rFonts w:hint="eastAsia" w:ascii="仿宋" w:hAnsi="仿宋" w:eastAsia="仿宋" w:cs="仿宋"/>
          <w:b w:val="0"/>
          <w:kern w:val="2"/>
          <w:sz w:val="24"/>
          <w:highlight w:val="none"/>
        </w:rPr>
      </w:pPr>
      <w:r>
        <w:rPr>
          <w:rFonts w:hint="eastAsia" w:ascii="仿宋" w:hAnsi="仿宋" w:eastAsia="仿宋" w:cs="仿宋"/>
          <w:sz w:val="24"/>
          <w:highlight w:val="none"/>
          <w:lang w:val="en-US" w:eastAsia="zh-CN"/>
        </w:rPr>
        <w:t>第二部分建设</w:t>
      </w:r>
      <w:r>
        <w:rPr>
          <w:rFonts w:hint="eastAsia" w:ascii="仿宋" w:hAnsi="仿宋" w:eastAsia="仿宋" w:cs="仿宋"/>
          <w:sz w:val="24"/>
          <w:highlight w:val="none"/>
        </w:rPr>
        <w:t>需求</w:t>
      </w:r>
    </w:p>
    <w:tbl>
      <w:tblPr>
        <w:tblStyle w:val="19"/>
        <w:tblW w:w="104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6"/>
        <w:gridCol w:w="986"/>
        <w:gridCol w:w="1711"/>
        <w:gridCol w:w="6860"/>
      </w:tblGrid>
      <w:tr w14:paraId="7B722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jc w:val="center"/>
        </w:trPr>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82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BF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模块</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5A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细分功能</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AB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功能描述</w:t>
            </w:r>
          </w:p>
        </w:tc>
      </w:tr>
      <w:tr w14:paraId="311B2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8635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临床端</w:t>
            </w: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56EA1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质控工具</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82C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结算清单预览</w:t>
            </w:r>
          </w:p>
        </w:tc>
        <w:tc>
          <w:tcPr>
            <w:tcW w:w="68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4276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临床医生或病案科，进行在院/出院患者病例完善提交，调用结算清单接口，系统自动质控，根据质控结果返回URL链接提供给临床端；界面支持进行清单预览、清单质控结果查看，清单预分组结果查看。临床医生可根据质控结果返回HIS系统进行信息的修正。</w:t>
            </w:r>
          </w:p>
        </w:tc>
      </w:tr>
      <w:tr w14:paraId="638D9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08C58">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A8FC6">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463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结算清单质控</w:t>
            </w:r>
          </w:p>
        </w:tc>
        <w:tc>
          <w:tcPr>
            <w:tcW w:w="68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9B5BF">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2"/>
                <w:szCs w:val="22"/>
                <w:highlight w:val="none"/>
                <w:u w:val="none"/>
              </w:rPr>
            </w:pPr>
          </w:p>
        </w:tc>
      </w:tr>
      <w:tr w14:paraId="3DAB7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DFC8E">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86E0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C38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结算清单预分组</w:t>
            </w:r>
          </w:p>
        </w:tc>
        <w:tc>
          <w:tcPr>
            <w:tcW w:w="68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C68C1">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2"/>
                <w:szCs w:val="22"/>
                <w:highlight w:val="none"/>
                <w:u w:val="none"/>
              </w:rPr>
            </w:pPr>
          </w:p>
        </w:tc>
      </w:tr>
      <w:tr w14:paraId="0236B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08074">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D4231">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316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结算清单提交前质控</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C47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根据医保文件与病例实际，对该结算清单的病例的完整性、逻辑性、合理性与编码问题进行质控。质控规则至少包括主诊断灰码、手术灰码、肿瘤组疑似入组错误质控内容并提示具体的错误原因及修改建议。</w:t>
            </w:r>
          </w:p>
        </w:tc>
      </w:tr>
      <w:tr w14:paraId="7E72E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7943E">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ED795">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57A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结算清单修改</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5E1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具有结算清单可修改部分录入功能，医院可按照质控规则提示对结算清单进行修改。每步修改痕迹对应的修改时间与账户都归档记录。</w:t>
            </w:r>
          </w:p>
        </w:tc>
      </w:tr>
      <w:tr w14:paraId="2E6D3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92546">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9D496">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1AB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结算清单保存</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FE66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修改完后的结算清单可直接由系统进行保存，支持缓存功能，对于未修改完的结算清单可中途保存后之后再次进行修改。</w:t>
            </w:r>
          </w:p>
        </w:tc>
      </w:tr>
      <w:tr w14:paraId="21595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9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B292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管理端</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FC3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系统首页</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F7C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住院病例结算清单的统计预览数据下钻</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2FDE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1.按照指定时间区间，进行总体清单数、机审违规及违规占比统计、归档进展统计、归档上传统计、清单评分前后均分的比对、清单入组情况分析及入组率统计。</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2.系统提供按照违规规则统计、按照科室等维度统计机审违规及人工反馈top值，支持跳转查看违规明细信息。</w:t>
            </w:r>
          </w:p>
        </w:tc>
      </w:tr>
      <w:tr w14:paraId="62480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F5F01">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2031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清单审核及质控</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8A1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★清单审核流程设置</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D13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支持根据用户管理需要，后台配置清单管理流程，可包括初审-复审-三审-四审-终审等。</w:t>
            </w:r>
          </w:p>
        </w:tc>
      </w:tr>
      <w:tr w14:paraId="662D7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5F957">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D165B">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BCA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清单质控</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EFF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支持查看清单质控结果（正常\违规），选中单条清单数据，可查看清单原始数据信息及清单的质控违规提示；支持对接医保平台展示医保质控结果信息。</w:t>
            </w:r>
          </w:p>
        </w:tc>
      </w:tr>
      <w:tr w14:paraId="06D75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0D170">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3032B">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E604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★清单查看/编辑</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3B1B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在各级审核节点，按照用户操作权限，可点击查看\编辑进行清单的预览及编辑，用户在线进行清单编辑后可实时调用清单质控引擎、分组引擎、拨付引擎进行修正后结算清单的质控、模拟分组、预估拨付结果及清单评分，可上下翻页灵活切换清单。</w:t>
            </w:r>
          </w:p>
        </w:tc>
      </w:tr>
      <w:tr w14:paraId="2F0D8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D6268">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32064">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2FF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★清单分组前后比对</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A5F1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清单列表展示结算清单修正前后的入组情况，可用于修正前后的比对。</w:t>
            </w:r>
          </w:p>
        </w:tc>
      </w:tr>
      <w:tr w14:paraId="3FCEE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E41FB">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25D6D">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CC73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★清单审核/反馈</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B54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1.支持结算清单的单条/批量的审核通过；</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2.清单审核过程中，若存在错填漏填等违规信息，用户可进行反馈意见的填写并反馈至前置审核节点，前置审核节点用户可进行清单的调整与补充，重新进行数据审核流转；</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3.审核无误的清单，可进行单条/批量数据的审核通过操作，提交至下一个节点。</w:t>
            </w:r>
          </w:p>
        </w:tc>
      </w:tr>
      <w:tr w14:paraId="06121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B0DE9">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9124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清单归档上传</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2651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清单归档</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9FA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终审完成后，结算清单进行自动归档，不支持修改；支持清单预览。</w:t>
            </w:r>
          </w:p>
        </w:tc>
      </w:tr>
      <w:tr w14:paraId="03B46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B3B4D">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FC63C">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050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★清单导出</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CC1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支持归档清单打印、导出pdf。</w:t>
            </w:r>
          </w:p>
        </w:tc>
      </w:tr>
      <w:tr w14:paraId="25A24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713A9">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DB995">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18F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★结算清单上传</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46F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确认无误后，可进行单条/批量，定时或手动上传医保，根据医保上传质控结果更新上传状态，若清单未上传/上传失败/审核不通过时，均支持主动或被动撤档，将结算清单撤回审核流程中，支持结算清单的修改编辑，修正完成可重新审核归档，上传医保。</w:t>
            </w:r>
          </w:p>
        </w:tc>
      </w:tr>
      <w:tr w14:paraId="46521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9811C">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28EDD">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428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医保查询</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C2F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支持对接医保平台对本院上传的清单数量进行查询，帮助医院实时掌控院内清单上传情况。查询数据包括：未提交数量、已提交数量、审核通过数量、审核不通过数量、医院上传数量、应上传数量。</w:t>
            </w:r>
          </w:p>
        </w:tc>
      </w:tr>
      <w:tr w14:paraId="580B8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C62E3">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7A1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DRG/DIP退出申请</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F23D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DRG/DIP退出申请</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9FC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支持对已经上传至医保的结算清单进行申请退出DRG/DIP结算，支持选择退出类型、上传退出原因，申请后支持查看申请进度、申请结果、撤销申请。</w:t>
            </w:r>
          </w:p>
        </w:tc>
      </w:tr>
      <w:tr w14:paraId="312FF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4D66D">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D1139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医保反馈</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9D4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★医保反馈数据导入差异比对</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031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按结算月度进行数据归集，根据反馈信息与清单分组、主诊断、主手术的对比差异及医保分组费用及医疗总费用的对比差异，进行确认是否申诉/退回审核，如申诉可在线填写申诉材料，反馈医保，如退回审核则可选择退回的审核节点，填写退回原因，退回至对应节点后重新进行修改审核及上传。</w:t>
            </w:r>
          </w:p>
        </w:tc>
      </w:tr>
      <w:tr w14:paraId="1E1AA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B3B4E">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C820E">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427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★医保结算数据导入结算信息分析</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AA8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医保结算数据导入，根据结算月度进行数据归集，展示月度结算信息，进行数据分析。</w:t>
            </w:r>
          </w:p>
        </w:tc>
      </w:tr>
      <w:tr w14:paraId="60195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23ABC">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8BA4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清单查询</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E9A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清单类型范围</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AD0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支持全医保支付方式清单的质控及管理包括：按项目、单病种、按病种分值、疾病诊断相关分组（DRG），按床日、按人头、其他。</w:t>
            </w:r>
          </w:p>
        </w:tc>
      </w:tr>
      <w:tr w14:paraId="252EA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4BA01">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A448C">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5B5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清单查询</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41D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清单查询列表支持查看全量结算清单数据，支持各界面统计图的下钻数据显示，支持数据下载。</w:t>
            </w:r>
          </w:p>
        </w:tc>
      </w:tr>
      <w:tr w14:paraId="00EF3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0FE48">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0A0C5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统计分析</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AE73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评分分析</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F8FC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按照指定时间区间，统计结算清单修改前后预分组情况及评分情况，支持查看清单具体扣分项。</w:t>
            </w:r>
          </w:p>
        </w:tc>
      </w:tr>
      <w:tr w14:paraId="4E9BF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E1C8B">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6B499">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280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规则分析</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B4E8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1.分别统计全院/科室/医师等维度在指定时间段内，按照系统默认违规规则分类或用户自定义违规分类进行数据聚合，统计规则总数、违规规则数、违规清单数、违规占比、扣分情况等。</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2.统计图按照违规规则分类、具体违规规则进行排序，显示全院、科室、医师等的违规情况。</w:t>
            </w:r>
          </w:p>
        </w:tc>
      </w:tr>
      <w:tr w14:paraId="467F0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6E13A">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C1761">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F33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工作量统计</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410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按照指定时间区间，对用户账号进行审核工作量统计，分别统计审核次数、审核清单数、反馈次数修改清单次数等。</w:t>
            </w:r>
          </w:p>
        </w:tc>
      </w:tr>
      <w:tr w14:paraId="7362F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B31B4">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98A9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基础设置</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A2F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诊断字典</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582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支持维护医院诊断表、医保诊断标准表、卫健诊断表。</w:t>
            </w:r>
          </w:p>
        </w:tc>
      </w:tr>
      <w:tr w14:paraId="590B0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47FDB">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692E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41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手术字典</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A10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支持维护医院手术表、医保手术标准表、卫健手术表。</w:t>
            </w:r>
          </w:p>
        </w:tc>
      </w:tr>
      <w:tr w14:paraId="2DCAE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144CD">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95930">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BF3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诊断映射</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A04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支持院内人员进行诊断映射表的维护管理，医院诊断表映射到医保诊断标准表，医院诊断表映射到卫健诊断表。</w:t>
            </w:r>
          </w:p>
        </w:tc>
      </w:tr>
      <w:tr w14:paraId="5A257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A9D6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3E94B">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E556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手术映射</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5CCB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支持院内人员进行手术映射表的维护管理，医院手术表映射到医保手术标准表，医院诊断表映射到卫健手术表。</w:t>
            </w:r>
          </w:p>
        </w:tc>
      </w:tr>
      <w:tr w14:paraId="59315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9948F">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F7E2C">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74D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规则配置</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D98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1.支持院内人员进行规则的启用、停用操作、前置审核规则配置及规则分值的设置。</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2.支持对每一条规则进行分值设置，使清单评分更贴近医院本地化、个性化管理。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3.支持自定义违规分类，使医院对清单的审核管理更加个性化。</w:t>
            </w:r>
          </w:p>
        </w:tc>
      </w:tr>
      <w:tr w14:paraId="6036C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91858">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9E4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结算清单上传总览</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B80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结算清单上传总览</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07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系统收集病例全流程住院信息，按照医保文件标准生成可视化的医保结算清单。从结算清单的完整性、逻辑性、合理性与编码问题维度展示结算清单的质控情况，统计分析排名前十的异常校验类型，辅助医院工作人员分析病案问题。</w:t>
            </w:r>
          </w:p>
        </w:tc>
      </w:tr>
      <w:tr w14:paraId="6C2B8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7B454">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25F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质控前后对比</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BFF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质控前后对比</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4FF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对比接收的原始医保结算清单与最后上传至医保局的结算清单，统计并展示入组、盈亏的前后差异。</w:t>
            </w:r>
          </w:p>
        </w:tc>
      </w:tr>
      <w:tr w14:paraId="33974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02F25">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5C40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医院病案清单管理</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2A1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病案首页总览</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3F8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总览医院整体病案质控情况，从医院总体情况、完整性、逻辑性、医保分组质控维度展示病案的质控情况，并对质控指标进行趋势对比，统计分析排名前十异常校验类型，以及医保分组质控情况，辅助医院工作人员分析病案问题。</w:t>
            </w:r>
          </w:p>
        </w:tc>
      </w:tr>
      <w:tr w14:paraId="09EAA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D7F18">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43CA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026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病案首页质控</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27D8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功能依据国家卫健委发《住院病案首页数据采集接口标准》与《住院病案首页数据质量管理与控制指标》对病案填写的完整度、逻辑性进行分析，分版块统计填写完整的病案数量及占比，从费用、编码、日期维度校验病案填写的合理性和规范性，具有每份病案完整度填写的详细分析结果。并基于质控结果形成病案质量评分，支持查看每份病案的得分详情。各科室、病案科、管理人员可依据此数据，整体把控自身病案填写情况，明确病案填写整改方向。</w:t>
            </w:r>
          </w:p>
        </w:tc>
      </w:tr>
      <w:tr w14:paraId="4EB2B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ACB5E">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D762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D01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病案首页评分</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F097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功能从总体得分、完整性得分、逻辑性得分维度，展示病案的扣分情况，并具有具体的扣分原因，辅助工作人员定位病案问题。</w:t>
            </w:r>
          </w:p>
        </w:tc>
      </w:tr>
      <w:tr w14:paraId="7A472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65FE0">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17151">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87B5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病案编码对比</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702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功能对医生HIS端填写病案首页与病案科修正病案首页进行对比，找寻医生在填写病案首页中的常见问题并督促其改正，并统计病案科在其中矫正工作量。</w:t>
            </w:r>
          </w:p>
        </w:tc>
      </w:tr>
      <w:tr w14:paraId="047DF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3520E">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A5214">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E01B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结算清单总览</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590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总览医院整体结算清单质量，从总体情况、完整性、逻辑性、合理性、编码问题与诊断手术漏填错填，展示结算清单的质控情况，并对质控指标进行趋势对比，统计分析排名前十异常校验类型，辅助医院工作人员分析结算清单问题。</w:t>
            </w:r>
          </w:p>
        </w:tc>
      </w:tr>
      <w:tr w14:paraId="3142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CAE5B">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00DEB">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AC3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结算清单质控</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FD3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基于国家医保局文件、十五项医疗保障信息业务编码标准政策文件，集成填报规范质控、疾病编码质控、信息业务编码质控、分组逻辑、资源消耗模型，为临床医生提供辅助诊疗、规范分组、付费预测、编码推荐、清单质控全过程信息支撑。</w:t>
            </w:r>
          </w:p>
        </w:tc>
      </w:tr>
      <w:tr w14:paraId="00823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40FE7">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397A0">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A30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结算清单评分</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A25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从总体得分、完整性得分、逻辑性得分、合理性得分、编码问题得分维度，展示结算清单的扣分情况，并具有具体的扣分原因，辅助工作人员定位结算清单填写问题。</w:t>
            </w:r>
          </w:p>
        </w:tc>
      </w:tr>
      <w:tr w14:paraId="64485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ABDF7">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1818E">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9E4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清单编码对比</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B9E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对于修改后的结算清单，系统具有质控前后入组变化、盈亏变化、标杆变化的统计维度，同时统计质控编码人员工作量与行为。</w:t>
            </w:r>
          </w:p>
        </w:tc>
      </w:tr>
      <w:tr w14:paraId="51A7C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F8837">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D7C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医院入组分析</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0663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医院入组分析</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CD4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基于分组器返回的分组结果，根据查询条件分无分组方案质控、诊断编码质控、分组参数质控、医保排除质控不同类型统计错误病例数及占比情况。各科室、病案科、管理人员可依据此数据，分析该病例的未入组原因，明确病案、医保结算清单填写整改方向。</w:t>
            </w:r>
          </w:p>
        </w:tc>
      </w:tr>
      <w:tr w14:paraId="76E90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B82C0">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A5C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病例数据查询</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D3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病例数据查询</w:t>
            </w:r>
          </w:p>
        </w:tc>
        <w:tc>
          <w:tcPr>
            <w:tcW w:w="6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099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可同时查询住院病案首页数据和医保结算清单明细数据，通过病案号直接连接至病案首页或结算清单，并支持一键切换住院病案首页和医保结算清单。系统支持在线实时质控病例数据，将病案首页、结算清单错误项进行高亮显示，鼠标光标移动到该处，提示问题原因。</w:t>
            </w:r>
          </w:p>
        </w:tc>
      </w:tr>
    </w:tbl>
    <w:p w14:paraId="57B1588E">
      <w:pPr>
        <w:keepNext w:val="0"/>
        <w:keepLines w:val="0"/>
        <w:numPr>
          <w:ilvl w:val="0"/>
          <w:numId w:val="26"/>
        </w:numPr>
        <w:shd w:val="clear"/>
        <w:adjustRightInd/>
        <w:spacing w:before="0" w:after="0" w:line="360" w:lineRule="auto"/>
        <w:ind w:left="720" w:hanging="360" w:firstLineChars="0"/>
        <w:jc w:val="left"/>
        <w:textAlignment w:val="auto"/>
        <w:outlineLvl w:val="9"/>
        <w:rPr>
          <w:rFonts w:hint="eastAsia" w:ascii="仿宋" w:hAnsi="仿宋" w:eastAsia="仿宋" w:cs="仿宋"/>
          <w:b w:val="0"/>
          <w:kern w:val="2"/>
          <w:sz w:val="24"/>
          <w:highlight w:val="none"/>
        </w:rPr>
      </w:pPr>
      <w:r>
        <w:rPr>
          <w:rFonts w:hint="eastAsia" w:ascii="仿宋" w:hAnsi="仿宋" w:eastAsia="仿宋" w:cs="仿宋"/>
          <w:sz w:val="24"/>
          <w:highlight w:val="none"/>
          <w:lang w:val="en-US" w:eastAsia="zh-CN"/>
        </w:rPr>
        <w:t>第三部分</w:t>
      </w:r>
      <w:r>
        <w:rPr>
          <w:rFonts w:hint="eastAsia" w:ascii="仿宋" w:hAnsi="仿宋" w:eastAsia="仿宋" w:cs="仿宋"/>
          <w:sz w:val="24"/>
          <w:highlight w:val="none"/>
        </w:rPr>
        <w:t>建设需求</w:t>
      </w:r>
    </w:p>
    <w:tbl>
      <w:tblPr>
        <w:tblStyle w:val="19"/>
        <w:tblW w:w="99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5"/>
        <w:gridCol w:w="1320"/>
        <w:gridCol w:w="7680"/>
      </w:tblGrid>
      <w:tr w14:paraId="2236E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2EA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模块</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C2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细分功能</w:t>
            </w:r>
          </w:p>
        </w:tc>
        <w:tc>
          <w:tcPr>
            <w:tcW w:w="7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BD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功能描述</w:t>
            </w:r>
          </w:p>
        </w:tc>
      </w:tr>
      <w:tr w14:paraId="59744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0" w:hRule="atLeast"/>
          <w:jc w:val="center"/>
        </w:trPr>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CBF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在院病例DRG预分组系统</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D91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病案信息</w:t>
            </w:r>
          </w:p>
        </w:tc>
        <w:tc>
          <w:tcPr>
            <w:tcW w:w="7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7AA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1.支持病案基础信息的查看；</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2.支持病案信息指标的灵活可配及修改；</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3.提供实时预警，包括费用预警、不合理入院预警等，预警条件支持启用/关闭，通过智能监测不合理行为，降低费用超支风险；</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4.支持再入院病例提示，可查看历次相关住院的DRG分组与诊断/手术信息；</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5.支持不合理入院规则配置设置；</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6.新增编码质控：对病例的诊断编码和手术及操作编码进行编码质控，从错误、疑似、建议维度展开提示，包括主诊断选择错误、重复编码、合并编码质控内容，并提示具体的错误原因及修改建议；</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7.新增非编码质控：数据质控逻辑内置于医院HIS系统、病案系统，本功能从完整性、逻辑性即时提供针对于每份病案提供质控的结果，并提示具体的错误原因，辅助工作人员定位病案问题；</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8.新增病案评分：功能内置于医院HIS系统、病案系统，从总体得分、完整性得分、逻辑性得分维度，展示病案的扣分情况，并具有具体的扣分原因，辅助工作人员定位病案问题。</w:t>
            </w:r>
          </w:p>
        </w:tc>
      </w:tr>
      <w:tr w14:paraId="0BE98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6782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24A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实时动态分组</w:t>
            </w:r>
          </w:p>
        </w:tc>
        <w:tc>
          <w:tcPr>
            <w:tcW w:w="7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A39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1.支持分组器本地化适配，建立本地政策规则，应用算法实现模拟分配，支持实时查看DRG预测分组及拨付指标；</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2.支持患者的拨付指标与归属病组的付费标准进行对比；</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3.支持拨付指标的灵活配置；</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4.对于未入组病例，给与未入组原因；</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5.支持部分指标的公式可视化，明确指标计算逻辑。</w:t>
            </w:r>
          </w:p>
        </w:tc>
      </w:tr>
      <w:tr w14:paraId="14D14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634A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D49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动态预警</w:t>
            </w:r>
          </w:p>
        </w:tc>
        <w:tc>
          <w:tcPr>
            <w:tcW w:w="7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44E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对动态病历费用达同级别省均费/省均住院天数达70%时预警</w:t>
            </w:r>
          </w:p>
        </w:tc>
      </w:tr>
      <w:tr w14:paraId="700D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8D14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73A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★大数据相似分组</w:t>
            </w:r>
          </w:p>
        </w:tc>
        <w:tc>
          <w:tcPr>
            <w:tcW w:w="7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0C2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1.支持对医生填写的诊断和手术进行分组测算，展示所有手术/诊断组合的分组可能，为医生的诊断信息填写，提供分组参考；</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2.支持不同分组的分组结果，按照预估结算费用/权重进行倒序排序。</w:t>
            </w:r>
          </w:p>
        </w:tc>
      </w:tr>
      <w:tr w14:paraId="5B085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A98B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25A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★大数据模拟分组</w:t>
            </w:r>
          </w:p>
        </w:tc>
        <w:tc>
          <w:tcPr>
            <w:tcW w:w="7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9BF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1.为医生提供模拟分组小工具，支持医生进行诊断、手术编码的调整/修改，系统通过内在的分组引擎及拨付引擎，显示相应的分组结果与拨付结果；</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2.支持一键导入当前在院病例的分组信息，并支持增加、删除或调整诊断/手术顺序，重新进行分组预测。</w:t>
            </w:r>
          </w:p>
        </w:tc>
      </w:tr>
      <w:tr w14:paraId="312B8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C23D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44B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费用明细</w:t>
            </w:r>
          </w:p>
        </w:tc>
        <w:tc>
          <w:tcPr>
            <w:tcW w:w="7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FA7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1.支持图表、列表两种形式，查看费用明细大类；支持按照总费用占比倒序排序；</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2.支持查看费用明细项目详情。</w:t>
            </w:r>
          </w:p>
        </w:tc>
      </w:tr>
      <w:tr w14:paraId="67AA2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5387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CD2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分组模拟</w:t>
            </w:r>
          </w:p>
        </w:tc>
        <w:tc>
          <w:tcPr>
            <w:tcW w:w="7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D88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功能内置于医院HIS系统，医生可双击诊断及手术的方式调整主诊断与次诊断，主手术与次手术的顺序，对不同诊断与手术组合进行分组模拟。</w:t>
            </w:r>
          </w:p>
        </w:tc>
      </w:tr>
    </w:tbl>
    <w:p w14:paraId="34EB12A0">
      <w:pPr>
        <w:keepNext w:val="0"/>
        <w:keepLines w:val="0"/>
        <w:numPr>
          <w:ilvl w:val="0"/>
          <w:numId w:val="26"/>
        </w:numPr>
        <w:shd w:val="clear"/>
        <w:adjustRightInd/>
        <w:spacing w:before="0" w:after="0" w:line="360" w:lineRule="auto"/>
        <w:ind w:left="720" w:hanging="360" w:firstLineChars="0"/>
        <w:jc w:val="left"/>
        <w:textAlignment w:val="auto"/>
        <w:outlineLvl w:val="9"/>
        <w:rPr>
          <w:rFonts w:hint="eastAsia" w:ascii="仿宋" w:hAnsi="仿宋" w:eastAsia="仿宋" w:cs="仿宋"/>
          <w:b w:val="0"/>
          <w:kern w:val="2"/>
          <w:sz w:val="24"/>
          <w:highlight w:val="none"/>
        </w:rPr>
      </w:pPr>
      <w:r>
        <w:rPr>
          <w:rFonts w:hint="eastAsia" w:ascii="仿宋" w:hAnsi="仿宋" w:eastAsia="仿宋" w:cs="仿宋"/>
          <w:sz w:val="24"/>
          <w:highlight w:val="none"/>
          <w:lang w:val="en-US" w:eastAsia="zh-CN"/>
        </w:rPr>
        <w:t>第四部分</w:t>
      </w:r>
      <w:r>
        <w:rPr>
          <w:rFonts w:hint="eastAsia" w:ascii="仿宋" w:hAnsi="仿宋" w:eastAsia="仿宋" w:cs="仿宋"/>
          <w:sz w:val="24"/>
          <w:highlight w:val="none"/>
        </w:rPr>
        <w:t>建设需求</w:t>
      </w:r>
    </w:p>
    <w:tbl>
      <w:tblPr>
        <w:tblStyle w:val="19"/>
        <w:tblW w:w="102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0"/>
        <w:gridCol w:w="1230"/>
        <w:gridCol w:w="7983"/>
      </w:tblGrid>
      <w:tr w14:paraId="40E4F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09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模块</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52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细分功能</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E8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功能描述</w:t>
            </w:r>
          </w:p>
        </w:tc>
      </w:tr>
      <w:tr w14:paraId="45FE0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0" w:hRule="atLeast"/>
          <w:jc w:val="center"/>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340E6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首页</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B46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总体概览</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E920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提供全院DRG整体运行监控，对分组情况、结算差异、费用差异结构、监控预警、绩效指标等DRG重点指标及维度进行综合展示。</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1.可快速定位分组效能，查看入组率，支持入组病例数、未入组病例数下钻展示病例详情；</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2.统计全院整体超支结余情况，从科室等维度可视化展示其预估结算差异情况，支持查看医院总体服务质量；</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3.统计展示医院的ADRG组数、DRG组数、时间消耗指数、费用消耗指数、CMI、再入院率及指标的同比环比情况。</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4.综合性多规则判定违规医疗行为（体检住院、住院配药、分解住院、无治疗住院、超长住院、挂床住院），支持下钻定位具体病例；支持规则灵活配置。</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5.支持查看不同病例类型的病例数分布，支持下钻；</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6.支持按照科室/医生等维度展示超支结余数量；</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7.展示超支、结余科室等维度的top5及其对应的预估结算差异；</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8.展示超支/结余病组数量及其占比信息，展示超支/结余病组top5及其对应的预估结算差异；</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9.支持查看MDC相对指数、ADRG相对指数、DRG相对指数、CMI、低风险死亡率、时间消耗指数、费用消耗指数多项重点指标。</w:t>
            </w:r>
          </w:p>
        </w:tc>
      </w:tr>
      <w:tr w14:paraId="24B6D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19D6A">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73C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医保付费预测分析</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1FE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医保支付概览、科室盈亏分析、医生盈亏分析、病组盈亏分析、病例盈亏分析、医院费用分析、预测单价管理、医保反馈对比、医院病种分析、DRG付费申诉</w:t>
            </w:r>
          </w:p>
        </w:tc>
      </w:tr>
      <w:tr w14:paraId="3DF9E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BA9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病例管理</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ACD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病例查询</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98E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1.依据全院及科室账号权限，实现病例在科室/医生等维度下的差异分析，定位差异主因；</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2.实现对病例类型、再入院、差异分类、支付方式、DRG编码等进行单项或综合查询；</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3.支持检索条件自定义，可控制显示与否及顺序调整；</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4.支持表头自定义，可控制表头字段显示与否及顺序调整；</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5.支持查看病例费用详情；</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6.支持数据下载。</w:t>
            </w:r>
          </w:p>
        </w:tc>
      </w:tr>
      <w:tr w14:paraId="48D3A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50CD0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差异分析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38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差异汇总-总体汇总</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3AD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1.根据数据口径进行联动筛选，从科室/医生/病组等维度，对其超支结余进行统计分析；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2.统计不同医保细分类型的患者分布情况；</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3.展示不同病例类型的病例数，且支持下钻；</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4.展示病组统计分析；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5.展示全院整体的预估结算差异及时间变化趋势；</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6.展示费用整体情况；</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7.展示各类费用结构占比，支持后台配置。</w:t>
            </w:r>
          </w:p>
        </w:tc>
      </w:tr>
      <w:tr w14:paraId="62995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A7A96">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BC5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差异汇总-医院科室</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B67A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1.从科室维度，统计科室的病例数、预估结算费用、预估结算差异、差异比例、差异分类、差异主因等；</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2.支持科室之间的横向对比；支持查看不同科室的预估结算差异随时间序列的变化趋势；</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3.支持科室的超支结余占比分析；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4.支持科室服务能力及服务效率的展示分析；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5.支持数据下载。</w:t>
            </w:r>
          </w:p>
        </w:tc>
      </w:tr>
      <w:tr w14:paraId="48A47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BBDF4">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817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差异汇总-责任医生</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F33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1.从责任医生的维度，统计责任医生的病例数、预估结算费用、预估结算差异、差异比例、差异分类、差异主因等；</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2.支持查看不同责任医生的预估结算差异随时间序列的变化趋势；</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3.支持数据下载。</w:t>
            </w:r>
          </w:p>
        </w:tc>
      </w:tr>
      <w:tr w14:paraId="16B63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FE503">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88C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★差异汇总-病例类型</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E70A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1.支持不同病例类型的预估结算差异统计及环比展示；</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2.支持查看不同病例类型的分布；</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3.展示不同病例类型的病例时间变化趋势；</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4.展示不同病例类型所对应的病例数、病例数占比、费用指标、差异分类等。</w:t>
            </w:r>
          </w:p>
        </w:tc>
      </w:tr>
      <w:tr w14:paraId="4218D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A9885">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303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差异汇总-权重分析</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C54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1.统计不同权重范围内病例数、病例数占比、病组数、病组数占比、预估结算费用、差异分类等指标；</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2.支持权重范围阈值的自定义配置；</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3.支持不同病例权重的分析及不同病组权重的分析；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4.支持数据下载。</w:t>
            </w:r>
          </w:p>
        </w:tc>
      </w:tr>
      <w:tr w14:paraId="6E255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2FCB5">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88B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病组分析-汇总分析</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EDF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1.对超支结余病组进行指标统计；</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2.对MDC、ADRG、DRG的分布，进行统计；</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3.提供病组权重-预估结算差异波士顿矩阵分析，将病组划分为优势病种、基础病种、劣势病种、潜力病种，引导医生进行重点病种管理；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4.展示超支结余病组top5；</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5.支持从全院/科室/责任医生维度统计入组率、病例数、预估结算费用等核心指标；</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6.支持病例、病组数的下钻查询。</w:t>
            </w:r>
          </w:p>
        </w:tc>
      </w:tr>
      <w:tr w14:paraId="20161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44656">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C37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★病组分析-病组查询</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A82F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1.从病组维度展示各个病组的费用信息、差异分类、费用结构分析，支持查看病组所涉及的科室/医生的数量，支持页面联动及交互展示；</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2.支持DRG编码/名称、差异分类等进行单项或多项综合查询；</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3.对病组进行差异分析，快速有效定位病组差异主因；</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4.支持数据下载。</w:t>
            </w:r>
          </w:p>
        </w:tc>
      </w:tr>
      <w:tr w14:paraId="30E67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EFF56">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85BF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病组分析-综合查询</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9F0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1.在病组层面，支持从科室/医生的维度，进行超支结余、费用结构及DRG重点指标统计分析；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2.支持点击病组病例数，进行下钻展示病例详情；</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3.支持对各维度-病组层面进行差异分析，快速有效定位病组差异主因；</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4.支持对整体结算差异、科室结算差异、费用结构进行分析；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5.支持数据下载。</w:t>
            </w:r>
          </w:p>
        </w:tc>
      </w:tr>
      <w:tr w14:paraId="7AE0A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4ACF4">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ADD7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★病组分析-统计分析</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E97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1.支持筛选单个病组分别在科室/责任医生等维度下的对比统计分析；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2.支持费用明细查看，定位差异主因中的最贵的明细和最多的明细；</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3.根据选择的维度，可联动显示当前病组在不同科室/责任医生等下预估结算差异及差异比例；</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4.根据选择的维度，可联动显示当前病组在不同科室/责任医生等维度的住院总费用及病例数情况，并可与左侧指标联动展示月度趋势。</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5.根据选择的维度，可联动显示当前病组的病例类型在不同科室/责任医生等维度的病例占比情况，并可与左侧指标联动展示月度趋势。</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6.支持数据下载。</w:t>
            </w:r>
          </w:p>
        </w:tc>
      </w:tr>
      <w:tr w14:paraId="5947F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9D91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★监测预警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9AD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维度选择</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F09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支持选择科室等维度，选定后，页面其他指标可联动显示当前选定维度的相关信息。</w:t>
            </w:r>
          </w:p>
        </w:tc>
      </w:tr>
      <w:tr w14:paraId="3E619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C1310">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0F5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分组结果监控</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54B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1.对病例分组情况进行监控，包括总病例数、入组病例、未入组病例信息；</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2.对病例入组的病组属性进行监控，包括非手术操作组、内科组、外科手术组的病组数量及占比。</w:t>
            </w:r>
          </w:p>
        </w:tc>
      </w:tr>
      <w:tr w14:paraId="7D721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7941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61D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病案数据</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FC0B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1.支持病案质量填写结果实时统计预警，对病案手术漏传、手术未入手术组、平均诊断个数、手术占比情况实时汇总分析，并展示同环比信息。</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2.支持指标下钻展示。</w:t>
            </w:r>
          </w:p>
        </w:tc>
      </w:tr>
      <w:tr w14:paraId="2FEDA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7280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411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费用监控</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482D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1.对全院病例的费用结构进行分析对比；</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2.展示不同月份的费用结构变化趋势，为医院及时把控费用变动提供支持。</w:t>
            </w:r>
          </w:p>
        </w:tc>
      </w:tr>
      <w:tr w14:paraId="2CF65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D83DF">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F6E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数据监控</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6FE8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1.对DRG绩效指标进行重点监测，包括ADRG组数、DRG组数、CMI、低风险死亡率、时间消耗指数、费用消耗指数、再入院率、人头人次比等；</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2.提供各指标的同比、环比对比，当重点指标有较大异动时，提示医院及时进行管理。</w:t>
            </w:r>
          </w:p>
        </w:tc>
      </w:tr>
      <w:tr w14:paraId="705D0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2B076">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1FF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自费报销比监控</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C38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DRG支付要求不加重患者负担，因此对患者负担进行监控，当发现较大变化时，及时进行院内管控。</w:t>
            </w:r>
          </w:p>
        </w:tc>
      </w:tr>
      <w:tr w14:paraId="71A63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E6EA5">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EAC9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行为规范预警</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ABC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1.重点监控DRG支付可能存在的违规行为，如分解住院、体检住院、配药住院等异常行为，提供行为预警；</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2.支持查看各类异常行为的判定规则，并支持规则自定义配置；</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3.支持各类异常行为监控的启用/不启用配置；</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4.支持指标下钻，直接定位具体病例。</w:t>
            </w:r>
          </w:p>
        </w:tc>
      </w:tr>
      <w:tr w14:paraId="6784D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F64F3">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75E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MDC挖掘监控</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1EA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监测MDC分组，对各MDC组的病例占比、重点病组占比指标进行分析对比。</w:t>
            </w:r>
          </w:p>
        </w:tc>
      </w:tr>
      <w:tr w14:paraId="7FC16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20F9F">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D05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异常预警</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17C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全院异常预警、科室费用预警、风险病例预警</w:t>
            </w:r>
          </w:p>
        </w:tc>
      </w:tr>
      <w:tr w14:paraId="37EC2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AE514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服务绩效</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77CE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医院总体</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719B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1.从服务能力、服务效率、服务质量等维度，对医院进行绩效指标分析。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2.对不同月份的各个服务绩效指标进行汇总和趋势分析。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3.支持表头自定义及表格下载。</w:t>
            </w:r>
          </w:p>
        </w:tc>
      </w:tr>
      <w:tr w14:paraId="6C7E2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F6B53">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DF4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医院科室</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BE4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1.从服务能力、服务效率、服务质量等维度，对各个科室的绩效指标进行分析；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2.对不同科室的服务绩效指标进行汇总，包含但不限于DRG组数、CMI、时间消耗指数、费用消耗指数、再入院率等；</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3.对重点绩效指标提供波士顿矩阵分析；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4.支持对同一科室不同月份的服务绩效指标进行对比；</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5.支持表头自定义及表格下载。</w:t>
            </w:r>
          </w:p>
        </w:tc>
      </w:tr>
      <w:tr w14:paraId="29BE1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4B156">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1BF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责任医生</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A7C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1.从服务能力、服务效率、服务质量等维度，对各个责任医生的绩效指标进行分析；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2.对不同责任医生的服务绩效指标进行汇总，包含但不限于DRG组数、CMI、时间消耗指数、费用消耗指数、再入院率等；</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3.支持对同一责任医生不同月份的服务绩效指标进行对比；</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4.支持表头自定义及表格下载。</w:t>
            </w:r>
          </w:p>
        </w:tc>
      </w:tr>
      <w:tr w14:paraId="04A77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48293">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09D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医院病组</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7BDB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1.支持查看各病组的服务能力、服务效率、服务质量指标；</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2.支持查看选定病组的病例数、权重、费用结构、时间消耗指数、费用消耗指数等信息；</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3.支持查看各病组的不同月份绩效指标对比；</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4.支持表头自定义及表格下载。</w:t>
            </w:r>
          </w:p>
        </w:tc>
      </w:tr>
      <w:tr w14:paraId="16097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55C22">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9BD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医院综合能力评价</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C4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DRG总体指标</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医院病组分析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医院综合分析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绩效评价分析-科室评价分析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绩效评价分析-诊疗组评价分析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绩效评价分析-医生评价分析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辅助管理分析-手术等级分析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辅助管理分析-医院安全分析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辅助管理分析-重点手术分析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辅助管理分析-重点疾病分析</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DRG知识库</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DRG分组模拟</w:t>
            </w:r>
          </w:p>
        </w:tc>
      </w:tr>
      <w:tr w14:paraId="51E99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42CCF">
            <w:pPr>
              <w:keepNext w:val="0"/>
              <w:keepLines w:val="0"/>
              <w:suppressLineNumbers w:val="0"/>
              <w:spacing w:before="0" w:beforeAutospacing="0" w:after="0" w:afterAutospacing="0"/>
              <w:ind w:left="0" w:right="0"/>
              <w:rPr>
                <w:rFonts w:hint="eastAsia" w:ascii="仿宋" w:hAnsi="仿宋" w:eastAsia="仿宋" w:cs="仿宋"/>
                <w:i w:val="0"/>
                <w:iCs w:val="0"/>
                <w:color w:val="000000"/>
                <w:sz w:val="22"/>
                <w:szCs w:val="22"/>
                <w:highlight w:val="none"/>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1B75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医院运营决策管理</w:t>
            </w:r>
          </w:p>
        </w:tc>
        <w:tc>
          <w:tcPr>
            <w:tcW w:w="7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62F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OE值监管</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数据分析报告</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360自定义报表</w:t>
            </w:r>
          </w:p>
        </w:tc>
      </w:tr>
    </w:tbl>
    <w:p w14:paraId="5C87E6E7">
      <w:pPr>
        <w:keepNext w:val="0"/>
        <w:keepLines w:val="0"/>
        <w:numPr>
          <w:ilvl w:val="-1"/>
          <w:numId w:val="0"/>
        </w:numPr>
        <w:shd w:val="clear"/>
        <w:tabs>
          <w:tab w:val="left" w:pos="0"/>
        </w:tabs>
        <w:adjustRightInd/>
        <w:spacing w:before="0" w:after="0" w:line="360" w:lineRule="auto"/>
        <w:ind w:left="0" w:firstLine="0" w:firstLineChars="0"/>
        <w:jc w:val="left"/>
        <w:textAlignment w:val="auto"/>
        <w:outlineLvl w:val="9"/>
        <w:rPr>
          <w:rFonts w:hint="eastAsia" w:ascii="仿宋" w:hAnsi="仿宋" w:eastAsia="仿宋" w:cs="仿宋"/>
          <w:b w:val="0"/>
          <w:kern w:val="2"/>
          <w:sz w:val="24"/>
          <w:highlight w:val="none"/>
        </w:rPr>
      </w:pPr>
    </w:p>
    <w:p w14:paraId="66C9491B">
      <w:pPr>
        <w:keepNext w:val="0"/>
        <w:keepLines w:val="0"/>
        <w:numPr>
          <w:ilvl w:val="-1"/>
          <w:numId w:val="0"/>
        </w:numPr>
        <w:shd w:val="clear"/>
        <w:tabs>
          <w:tab w:val="left" w:pos="0"/>
        </w:tabs>
        <w:adjustRightInd/>
        <w:spacing w:before="0" w:after="0" w:line="360" w:lineRule="auto"/>
        <w:ind w:left="0" w:firstLine="0" w:firstLineChars="0"/>
        <w:jc w:val="left"/>
        <w:textAlignment w:val="auto"/>
        <w:outlineLvl w:val="9"/>
        <w:rPr>
          <w:rFonts w:hint="eastAsia" w:ascii="仿宋" w:hAnsi="仿宋" w:eastAsia="仿宋" w:cs="仿宋"/>
          <w:b w:val="0"/>
          <w:kern w:val="2"/>
          <w:sz w:val="24"/>
          <w:highlight w:val="none"/>
        </w:rPr>
      </w:pPr>
      <w:r>
        <w:rPr>
          <w:rFonts w:hint="eastAsia" w:ascii="仿宋" w:hAnsi="仿宋" w:eastAsia="仿宋" w:cs="仿宋"/>
          <w:b w:val="0"/>
          <w:kern w:val="2"/>
          <w:sz w:val="24"/>
          <w:highlight w:val="none"/>
        </w:rPr>
        <w:t>★★：</w:t>
      </w:r>
      <w:r>
        <w:rPr>
          <w:rFonts w:hint="eastAsia" w:ascii="仿宋" w:hAnsi="仿宋" w:eastAsia="仿宋" w:cs="仿宋"/>
          <w:sz w:val="24"/>
          <w:highlight w:val="none"/>
        </w:rPr>
        <w:t>不满足直接否决投标</w:t>
      </w:r>
      <w:r>
        <w:rPr>
          <w:rFonts w:hint="eastAsia" w:ascii="仿宋" w:hAnsi="仿宋" w:eastAsia="仿宋" w:cs="仿宋"/>
          <w:b w:val="0"/>
          <w:kern w:val="2"/>
          <w:sz w:val="24"/>
          <w:highlight w:val="none"/>
        </w:rPr>
        <w:t xml:space="preserve">  ★：</w:t>
      </w:r>
      <w:r>
        <w:rPr>
          <w:rFonts w:hint="eastAsia" w:ascii="仿宋" w:hAnsi="仿宋" w:eastAsia="仿宋" w:cs="仿宋"/>
          <w:sz w:val="24"/>
          <w:highlight w:val="none"/>
        </w:rPr>
        <w:t>负偏离将按评标标准扣分</w:t>
      </w:r>
      <w:r>
        <w:rPr>
          <w:rFonts w:hint="eastAsia" w:ascii="仿宋" w:hAnsi="仿宋" w:eastAsia="仿宋" w:cs="仿宋"/>
          <w:b w:val="0"/>
          <w:kern w:val="2"/>
          <w:sz w:val="24"/>
          <w:highlight w:val="none"/>
        </w:rPr>
        <w:t xml:space="preserve">  ▲：比较重要</w:t>
      </w:r>
    </w:p>
    <w:p w14:paraId="352C62D0">
      <w:pPr>
        <w:keepNext w:val="0"/>
        <w:keepLines w:val="0"/>
        <w:numPr>
          <w:ilvl w:val="-1"/>
          <w:numId w:val="0"/>
        </w:numPr>
        <w:shd w:val="clear"/>
        <w:tabs>
          <w:tab w:val="left" w:pos="0"/>
        </w:tabs>
        <w:adjustRightInd/>
        <w:spacing w:before="0" w:after="0" w:line="360" w:lineRule="auto"/>
        <w:ind w:left="0" w:firstLine="0" w:firstLineChars="0"/>
        <w:jc w:val="left"/>
        <w:textAlignment w:val="auto"/>
        <w:outlineLvl w:val="9"/>
        <w:rPr>
          <w:rFonts w:hint="eastAsia" w:ascii="仿宋" w:hAnsi="仿宋" w:eastAsia="仿宋" w:cs="仿宋"/>
          <w:b w:val="0"/>
          <w:kern w:val="2"/>
          <w:sz w:val="24"/>
          <w:highlight w:val="yellow"/>
          <w:lang w:eastAsia="zh-CN"/>
        </w:rPr>
      </w:pPr>
      <w:r>
        <w:rPr>
          <w:rFonts w:hint="eastAsia" w:ascii="仿宋" w:hAnsi="仿宋" w:eastAsia="仿宋" w:cs="仿宋"/>
          <w:b w:val="0"/>
          <w:kern w:val="2"/>
          <w:sz w:val="24"/>
          <w:highlight w:val="yellow"/>
          <w:lang w:val="en-US" w:eastAsia="zh-CN"/>
        </w:rPr>
        <w:t>接口要求：①</w:t>
      </w:r>
      <w:r>
        <w:rPr>
          <w:rFonts w:hint="eastAsia" w:ascii="仿宋" w:hAnsi="仿宋" w:eastAsia="仿宋" w:cs="仿宋"/>
          <w:b w:val="0"/>
          <w:kern w:val="2"/>
          <w:sz w:val="24"/>
          <w:highlight w:val="yellow"/>
          <w:lang w:eastAsia="zh-CN"/>
        </w:rPr>
        <w:t>投标人负责的接口相关开发、联调全部服务费用，已全额包含在对应系统的投标总包干价内，招标人无需就该部分接</w:t>
      </w:r>
      <w:bookmarkStart w:id="255" w:name="_GoBack"/>
      <w:bookmarkEnd w:id="255"/>
      <w:r>
        <w:rPr>
          <w:rFonts w:hint="eastAsia" w:ascii="仿宋" w:hAnsi="仿宋" w:eastAsia="仿宋" w:cs="仿宋"/>
          <w:b w:val="0"/>
          <w:kern w:val="2"/>
          <w:sz w:val="24"/>
          <w:highlight w:val="yellow"/>
          <w:lang w:eastAsia="zh-CN"/>
        </w:rPr>
        <w:t>口服务另行向中标人支付任何额外费用。</w:t>
      </w:r>
    </w:p>
    <w:p w14:paraId="4A1C1D46">
      <w:pPr>
        <w:keepNext w:val="0"/>
        <w:keepLines w:val="0"/>
        <w:numPr>
          <w:ilvl w:val="-1"/>
          <w:numId w:val="0"/>
        </w:numPr>
        <w:shd w:val="clear"/>
        <w:tabs>
          <w:tab w:val="left" w:pos="0"/>
        </w:tabs>
        <w:adjustRightInd/>
        <w:spacing w:before="0" w:after="0" w:line="360" w:lineRule="auto"/>
        <w:ind w:left="0" w:firstLine="0" w:firstLineChars="0"/>
        <w:jc w:val="left"/>
        <w:textAlignment w:val="auto"/>
        <w:outlineLvl w:val="9"/>
        <w:rPr>
          <w:rFonts w:hint="eastAsia" w:ascii="仿宋" w:hAnsi="仿宋" w:eastAsia="仿宋" w:cs="仿宋"/>
          <w:b w:val="0"/>
          <w:kern w:val="2"/>
          <w:sz w:val="24"/>
          <w:highlight w:val="yellow"/>
          <w:lang w:eastAsia="zh-CN"/>
        </w:rPr>
      </w:pPr>
      <w:r>
        <w:rPr>
          <w:rFonts w:hint="eastAsia" w:ascii="仿宋" w:hAnsi="仿宋" w:eastAsia="仿宋" w:cs="仿宋"/>
          <w:b w:val="0"/>
          <w:kern w:val="2"/>
          <w:sz w:val="24"/>
          <w:highlight w:val="yellow"/>
          <w:lang w:val="en-US" w:eastAsia="zh-CN"/>
        </w:rPr>
        <w:t>②</w:t>
      </w:r>
      <w:r>
        <w:rPr>
          <w:rFonts w:hint="eastAsia" w:ascii="仿宋" w:hAnsi="仿宋" w:eastAsia="仿宋" w:cs="仿宋"/>
          <w:b w:val="0"/>
          <w:kern w:val="2"/>
          <w:sz w:val="24"/>
          <w:highlight w:val="yellow"/>
          <w:lang w:eastAsia="zh-CN"/>
        </w:rPr>
        <w:t>招标人将协调提供院内现有信息系统（含HIS系统、电子病历等系统）的第三方接口授权，保障投标人可实现业务系统间的无缝数据交互与功能集成；HIS厂商侧的接口授权相关费用由招标人自行承担，无需投标人支付。</w:t>
      </w:r>
    </w:p>
    <w:bookmarkEnd w:id="139"/>
    <w:p w14:paraId="0A746F5C">
      <w:pPr>
        <w:keepNext/>
        <w:keepLines/>
        <w:numPr>
          <w:ilvl w:val="0"/>
          <w:numId w:val="24"/>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145" w:name="_Toc14657"/>
      <w:bookmarkStart w:id="146" w:name="_Toc30256"/>
      <w:bookmarkStart w:id="147" w:name="_Toc31996"/>
      <w:bookmarkStart w:id="148" w:name="_Toc26869"/>
      <w:bookmarkStart w:id="149" w:name="_Toc25678"/>
      <w:bookmarkStart w:id="150" w:name="_Toc24586"/>
      <w:bookmarkStart w:id="151" w:name="_Toc5484"/>
      <w:r>
        <w:rPr>
          <w:rFonts w:hint="eastAsia" w:ascii="仿宋" w:hAnsi="仿宋" w:eastAsia="仿宋" w:cs="仿宋"/>
          <w:b/>
          <w:kern w:val="0"/>
          <w:sz w:val="24"/>
          <w:highlight w:val="none"/>
        </w:rPr>
        <w:t>强制性要求</w:t>
      </w:r>
      <w:bookmarkEnd w:id="145"/>
      <w:bookmarkEnd w:id="146"/>
      <w:bookmarkEnd w:id="147"/>
    </w:p>
    <w:p w14:paraId="622F08E2">
      <w:pPr>
        <w:keepNext w:val="0"/>
        <w:keepLines w:val="0"/>
        <w:numPr>
          <w:ilvl w:val="-1"/>
          <w:numId w:val="0"/>
        </w:numPr>
        <w:shd w:val="clear"/>
        <w:tabs>
          <w:tab w:val="left" w:pos="0"/>
        </w:tabs>
        <w:adjustRightInd/>
        <w:spacing w:before="0" w:after="0" w:line="360" w:lineRule="auto"/>
        <w:ind w:left="0" w:firstLine="0"/>
        <w:jc w:val="left"/>
        <w:textAlignment w:val="auto"/>
        <w:outlineLvl w:val="9"/>
        <w:rPr>
          <w:rFonts w:hint="eastAsia" w:ascii="仿宋" w:hAnsi="仿宋" w:eastAsia="仿宋" w:cs="仿宋"/>
          <w:b w:val="0"/>
          <w:kern w:val="2"/>
          <w:sz w:val="24"/>
          <w:highlight w:val="none"/>
        </w:rPr>
      </w:pPr>
      <w:r>
        <w:rPr>
          <w:rFonts w:hint="eastAsia" w:ascii="仿宋" w:hAnsi="仿宋" w:eastAsia="仿宋" w:cs="仿宋"/>
          <w:b w:val="0"/>
          <w:kern w:val="2"/>
          <w:sz w:val="24"/>
          <w:highlight w:val="none"/>
        </w:rPr>
        <w:t>（</w:t>
      </w:r>
      <w:r>
        <w:rPr>
          <w:rFonts w:hint="eastAsia" w:ascii="仿宋" w:hAnsi="仿宋" w:eastAsia="仿宋" w:cs="仿宋"/>
          <w:b w:val="0"/>
          <w:kern w:val="2"/>
          <w:sz w:val="24"/>
          <w:highlight w:val="none"/>
          <w:lang w:val="en-US" w:eastAsia="zh-CN"/>
        </w:rPr>
        <w:t>标记“</w:t>
      </w:r>
      <w:r>
        <w:rPr>
          <w:rFonts w:hint="eastAsia" w:ascii="仿宋" w:hAnsi="仿宋" w:eastAsia="仿宋" w:cs="仿宋"/>
          <w:b w:val="0"/>
          <w:kern w:val="2"/>
          <w:sz w:val="24"/>
          <w:highlight w:val="none"/>
        </w:rPr>
        <w:t>★★</w:t>
      </w:r>
      <w:r>
        <w:rPr>
          <w:rFonts w:hint="eastAsia" w:ascii="仿宋" w:hAnsi="仿宋" w:eastAsia="仿宋" w:cs="仿宋"/>
          <w:b w:val="0"/>
          <w:kern w:val="2"/>
          <w:sz w:val="24"/>
          <w:highlight w:val="none"/>
          <w:lang w:val="en-US" w:eastAsia="zh-CN"/>
        </w:rPr>
        <w:t>”、“</w:t>
      </w:r>
      <w:r>
        <w:rPr>
          <w:rFonts w:hint="eastAsia" w:ascii="仿宋" w:hAnsi="仿宋" w:eastAsia="仿宋" w:cs="仿宋"/>
          <w:b w:val="0"/>
          <w:kern w:val="2"/>
          <w:sz w:val="24"/>
          <w:highlight w:val="none"/>
        </w:rPr>
        <w:t>★</w:t>
      </w:r>
      <w:r>
        <w:rPr>
          <w:rFonts w:hint="eastAsia" w:ascii="仿宋" w:hAnsi="仿宋" w:eastAsia="仿宋" w:cs="仿宋"/>
          <w:b w:val="0"/>
          <w:kern w:val="2"/>
          <w:sz w:val="24"/>
          <w:highlight w:val="none"/>
          <w:lang w:val="en-US" w:eastAsia="zh-CN"/>
        </w:rPr>
        <w:t>”项目</w:t>
      </w:r>
      <w:r>
        <w:rPr>
          <w:rFonts w:hint="eastAsia" w:ascii="仿宋" w:hAnsi="仿宋" w:eastAsia="仿宋" w:cs="仿宋"/>
          <w:b w:val="0"/>
          <w:kern w:val="2"/>
          <w:sz w:val="24"/>
          <w:highlight w:val="none"/>
        </w:rPr>
        <w:t>必须全部满足）</w:t>
      </w:r>
      <w:bookmarkEnd w:id="148"/>
      <w:bookmarkEnd w:id="149"/>
      <w:bookmarkEnd w:id="150"/>
    </w:p>
    <w:tbl>
      <w:tblPr>
        <w:tblStyle w:val="19"/>
        <w:tblW w:w="101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9"/>
        <w:gridCol w:w="7206"/>
        <w:gridCol w:w="1822"/>
      </w:tblGrid>
      <w:tr w14:paraId="33E3F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FF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标记</w:t>
            </w:r>
          </w:p>
        </w:tc>
        <w:tc>
          <w:tcPr>
            <w:tcW w:w="7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F5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要求内容</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19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说明</w:t>
            </w:r>
          </w:p>
        </w:tc>
      </w:tr>
      <w:tr w14:paraId="0AA80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A5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w:t>
            </w:r>
          </w:p>
        </w:tc>
        <w:tc>
          <w:tcPr>
            <w:tcW w:w="7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1A3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所投医保智能审核和DRG精细化管理系统必须具备自主知识产权，提供对应《计算机软件著作权登记证书》</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354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不满足直接否决投标</w:t>
            </w:r>
          </w:p>
        </w:tc>
      </w:tr>
      <w:tr w14:paraId="3B826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jc w:val="center"/>
        </w:trPr>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688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w:t>
            </w:r>
          </w:p>
        </w:tc>
        <w:tc>
          <w:tcPr>
            <w:tcW w:w="7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01E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必须满足第三章</w:t>
            </w:r>
            <w:r>
              <w:rPr>
                <w:rFonts w:hint="eastAsia" w:ascii="仿宋" w:hAnsi="仿宋" w:eastAsia="仿宋" w:cs="仿宋"/>
                <w:color w:val="000000"/>
                <w:kern w:val="0"/>
                <w:sz w:val="22"/>
                <w:szCs w:val="22"/>
                <w:highlight w:val="none"/>
                <w:u w:val="none"/>
                <w:lang w:bidi="ar"/>
              </w:rPr>
              <w:t>2系统建设内容</w:t>
            </w:r>
            <w:r>
              <w:rPr>
                <w:rFonts w:hint="eastAsia" w:ascii="仿宋" w:hAnsi="仿宋" w:eastAsia="仿宋" w:cs="仿宋"/>
                <w:i w:val="0"/>
                <w:iCs w:val="0"/>
                <w:color w:val="000000"/>
                <w:kern w:val="0"/>
                <w:sz w:val="22"/>
                <w:szCs w:val="22"/>
                <w:highlight w:val="none"/>
                <w:u w:val="none"/>
                <w:lang w:val="en-US" w:eastAsia="zh-CN" w:bidi="ar"/>
              </w:rPr>
              <w:t>2.1-2.4中所有标注★★的功能要求：</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1.人工审核</w:t>
            </w:r>
          </w:p>
          <w:p w14:paraId="374E918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2.模拟飞检</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0EBC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任一不满足直接否决</w:t>
            </w:r>
          </w:p>
        </w:tc>
      </w:tr>
      <w:tr w14:paraId="2DE3B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23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w:t>
            </w:r>
          </w:p>
        </w:tc>
        <w:tc>
          <w:tcPr>
            <w:tcW w:w="7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D46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满足第三章</w:t>
            </w:r>
            <w:r>
              <w:rPr>
                <w:rFonts w:hint="eastAsia" w:ascii="仿宋" w:hAnsi="仿宋" w:eastAsia="仿宋" w:cs="仿宋"/>
                <w:color w:val="000000"/>
                <w:kern w:val="0"/>
                <w:sz w:val="22"/>
                <w:szCs w:val="22"/>
                <w:highlight w:val="none"/>
                <w:u w:val="none"/>
                <w:lang w:bidi="ar"/>
              </w:rPr>
              <w:t>2系统建设内容</w:t>
            </w:r>
            <w:r>
              <w:rPr>
                <w:rFonts w:hint="eastAsia" w:ascii="仿宋" w:hAnsi="仿宋" w:eastAsia="仿宋" w:cs="仿宋"/>
                <w:i w:val="0"/>
                <w:iCs w:val="0"/>
                <w:color w:val="000000"/>
                <w:kern w:val="0"/>
                <w:sz w:val="22"/>
                <w:szCs w:val="22"/>
                <w:highlight w:val="none"/>
                <w:u w:val="none"/>
                <w:lang w:val="en-US" w:eastAsia="zh-CN" w:bidi="ar"/>
              </w:rPr>
              <w:t>2.1-2.4所有标注★的功能要求：</w:t>
            </w:r>
          </w:p>
          <w:p w14:paraId="22C4528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sz w:val="24"/>
                <w:szCs w:val="24"/>
                <w:highlight w:val="none"/>
              </w:rPr>
              <w:t>1.住院预警拦截处置、医生站/护士站出院审核、场景审核、导入分发、院内反馈</w:t>
            </w:r>
            <w:r>
              <w:rPr>
                <w:rFonts w:hint="eastAsia" w:ascii="仿宋" w:hAnsi="仿宋" w:eastAsia="仿宋" w:cs="仿宋"/>
                <w:sz w:val="24"/>
                <w:szCs w:val="24"/>
                <w:highlight w:val="none"/>
                <w:lang w:eastAsia="zh-CN"/>
              </w:rPr>
              <w:t>、医保扣费、</w:t>
            </w:r>
            <w:r>
              <w:rPr>
                <w:rFonts w:hint="eastAsia" w:ascii="仿宋" w:hAnsi="仿宋" w:eastAsia="仿宋" w:cs="仿宋"/>
                <w:sz w:val="24"/>
                <w:szCs w:val="24"/>
                <w:highlight w:val="none"/>
              </w:rPr>
              <w:t>规则设置、场景审核配置</w:t>
            </w:r>
            <w:r>
              <w:rPr>
                <w:rFonts w:hint="eastAsia" w:ascii="仿宋" w:hAnsi="仿宋" w:eastAsia="仿宋" w:cs="仿宋"/>
                <w:sz w:val="24"/>
                <w:szCs w:val="24"/>
                <w:highlight w:val="none"/>
              </w:rPr>
              <w:br w:type="textWrapping"/>
            </w:r>
            <w:r>
              <w:rPr>
                <w:rFonts w:hint="eastAsia" w:ascii="仿宋" w:hAnsi="仿宋" w:eastAsia="仿宋" w:cs="仿宋"/>
                <w:sz w:val="24"/>
                <w:szCs w:val="24"/>
                <w:highlight w:val="none"/>
              </w:rPr>
              <w:t>2.清单审核流程设置、清单查看/编辑、清单分组前后比对、清单审核/反馈、清单导出、结算清单上传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医保反馈数据导入差异比对、医保结算数据导入结算信息分析</w:t>
            </w:r>
            <w:r>
              <w:rPr>
                <w:rFonts w:hint="eastAsia" w:ascii="仿宋" w:hAnsi="仿宋" w:eastAsia="仿宋" w:cs="仿宋"/>
                <w:sz w:val="24"/>
                <w:szCs w:val="24"/>
                <w:highlight w:val="none"/>
              </w:rPr>
              <w:br w:type="textWrapping"/>
            </w:r>
            <w:r>
              <w:rPr>
                <w:rFonts w:hint="eastAsia" w:ascii="仿宋" w:hAnsi="仿宋" w:eastAsia="仿宋" w:cs="仿宋"/>
                <w:sz w:val="24"/>
                <w:szCs w:val="24"/>
                <w:highlight w:val="none"/>
              </w:rPr>
              <w:t>4.大数据相似分组、大数据模拟分组</w:t>
            </w:r>
            <w:r>
              <w:rPr>
                <w:rFonts w:hint="eastAsia" w:ascii="仿宋" w:hAnsi="仿宋" w:eastAsia="仿宋" w:cs="仿宋"/>
                <w:sz w:val="24"/>
                <w:szCs w:val="24"/>
                <w:highlight w:val="none"/>
              </w:rPr>
              <w:br w:type="textWrapping"/>
            </w:r>
            <w:r>
              <w:rPr>
                <w:rFonts w:hint="eastAsia" w:ascii="仿宋" w:hAnsi="仿宋" w:eastAsia="仿宋" w:cs="仿宋"/>
                <w:sz w:val="24"/>
                <w:szCs w:val="24"/>
                <w:highlight w:val="none"/>
              </w:rPr>
              <w:t>5.差异汇总-病例类型、病组分析-病组查询、病组分析-统计分析</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监测预警全功能</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41D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负偏离将按评标标准扣分</w:t>
            </w:r>
          </w:p>
        </w:tc>
      </w:tr>
      <w:tr w14:paraId="01B88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11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w:t>
            </w:r>
          </w:p>
        </w:tc>
        <w:tc>
          <w:tcPr>
            <w:tcW w:w="7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78F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免费服务期≥1年，7×12小时技术支持，重大问题2小时响应、一般问题24小时内解决</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ABA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负偏离将按评标标准扣分</w:t>
            </w:r>
          </w:p>
        </w:tc>
      </w:tr>
      <w:tr w14:paraId="2D02C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29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w:t>
            </w:r>
          </w:p>
        </w:tc>
        <w:tc>
          <w:tcPr>
            <w:tcW w:w="7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D53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承诺无条件配合医院HIS系统对接，承担联调责任，保障数据同步准确无错乱</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329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负偏离将按评标标准扣分</w:t>
            </w:r>
          </w:p>
        </w:tc>
      </w:tr>
      <w:tr w14:paraId="133DC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12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w:t>
            </w:r>
          </w:p>
        </w:tc>
        <w:tc>
          <w:tcPr>
            <w:tcW w:w="7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14F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具备2024年1月1日以后三级及以上医院医保智能审核和DRG精细化管理系统实施案例</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FBE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不满足资格要求</w:t>
            </w:r>
          </w:p>
        </w:tc>
      </w:tr>
    </w:tbl>
    <w:p w14:paraId="793BF806">
      <w:pPr>
        <w:keepNext w:val="0"/>
        <w:keepLines w:val="0"/>
        <w:pageBreakBefore w:val="0"/>
        <w:widowControl w:val="0"/>
        <w:numPr>
          <w:ilvl w:val="-1"/>
          <w:numId w:val="0"/>
        </w:numPr>
        <w:shd w:val="clear"/>
        <w:tabs>
          <w:tab w:val="left" w:pos="0"/>
        </w:tabs>
        <w:kinsoku/>
        <w:wordWrap/>
        <w:overflowPunct/>
        <w:topLinePunct w:val="0"/>
        <w:autoSpaceDE/>
        <w:autoSpaceDN/>
        <w:bidi w:val="0"/>
        <w:adjustRightInd/>
        <w:snapToGrid/>
        <w:spacing w:after="0" w:line="360" w:lineRule="auto"/>
        <w:ind w:left="360" w:leftChars="0" w:firstLine="0" w:firstLineChars="0"/>
        <w:textAlignment w:val="auto"/>
        <w:rPr>
          <w:rFonts w:hint="eastAsia" w:ascii="仿宋" w:hAnsi="仿宋" w:eastAsia="仿宋" w:cs="仿宋"/>
          <w:sz w:val="24"/>
          <w:highlight w:val="none"/>
        </w:rPr>
      </w:pPr>
    </w:p>
    <w:p w14:paraId="5527B117">
      <w:pPr>
        <w:keepNext/>
        <w:keepLines/>
        <w:numPr>
          <w:ilvl w:val="0"/>
          <w:numId w:val="24"/>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152" w:name="_Toc11201"/>
      <w:bookmarkStart w:id="153" w:name="_Toc3612"/>
      <w:bookmarkStart w:id="154" w:name="_Toc27406"/>
      <w:bookmarkStart w:id="155" w:name="_Toc2995"/>
      <w:bookmarkStart w:id="156" w:name="_Toc1950"/>
      <w:bookmarkStart w:id="157" w:name="_Toc31812"/>
      <w:r>
        <w:rPr>
          <w:rFonts w:hint="eastAsia" w:ascii="仿宋" w:hAnsi="仿宋" w:eastAsia="仿宋" w:cs="仿宋"/>
          <w:b/>
          <w:kern w:val="0"/>
          <w:sz w:val="24"/>
          <w:highlight w:val="none"/>
        </w:rPr>
        <w:t>交付与验收</w:t>
      </w:r>
      <w:bookmarkEnd w:id="152"/>
      <w:bookmarkEnd w:id="153"/>
      <w:bookmarkEnd w:id="154"/>
      <w:bookmarkEnd w:id="155"/>
      <w:bookmarkEnd w:id="156"/>
      <w:bookmarkEnd w:id="157"/>
    </w:p>
    <w:p w14:paraId="0EFED7F6">
      <w:pPr>
        <w:keepNext w:val="0"/>
        <w:keepLines w:val="0"/>
        <w:pageBreakBefore w:val="0"/>
        <w:widowControl w:val="0"/>
        <w:numPr>
          <w:ilvl w:val="0"/>
          <w:numId w:val="27"/>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交付周期：合同签订后</w:t>
      </w:r>
      <w:r>
        <w:rPr>
          <w:rFonts w:hint="default" w:ascii="仿宋" w:hAnsi="仿宋" w:eastAsia="仿宋" w:cs="仿宋"/>
          <w:b/>
          <w:bCs/>
          <w:sz w:val="24"/>
          <w:highlight w:val="none"/>
        </w:rPr>
        <w:t>60个工作日（仅系统部署、调试与交付周期）</w:t>
      </w:r>
      <w:r>
        <w:rPr>
          <w:rFonts w:hint="eastAsia" w:ascii="仿宋" w:hAnsi="仿宋" w:eastAsia="仿宋" w:cs="仿宋"/>
          <w:sz w:val="24"/>
          <w:szCs w:val="24"/>
          <w:highlight w:val="none"/>
        </w:rPr>
        <w:t>内完成上线。</w:t>
      </w:r>
    </w:p>
    <w:p w14:paraId="4CE6A12C">
      <w:pPr>
        <w:keepNext w:val="0"/>
        <w:keepLines w:val="0"/>
        <w:pageBreakBefore w:val="0"/>
        <w:widowControl w:val="0"/>
        <w:numPr>
          <w:ilvl w:val="0"/>
          <w:numId w:val="27"/>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highlight w:val="none"/>
        </w:rPr>
      </w:pPr>
      <w:r>
        <w:rPr>
          <w:rFonts w:hint="eastAsia" w:ascii="仿宋" w:hAnsi="仿宋" w:eastAsia="仿宋" w:cs="仿宋"/>
          <w:sz w:val="24"/>
          <w:szCs w:val="24"/>
          <w:highlight w:val="none"/>
        </w:rPr>
        <w:t>验收标准：</w:t>
      </w:r>
    </w:p>
    <w:p w14:paraId="7908ECAA">
      <w:pPr>
        <w:keepNext w:val="0"/>
        <w:keepLines w:val="0"/>
        <w:pageBreakBefore w:val="0"/>
        <w:widowControl w:val="0"/>
        <w:numPr>
          <w:ilvl w:val="0"/>
          <w:numId w:val="28"/>
        </w:numPr>
        <w:shd w:val="clear"/>
        <w:kinsoku/>
        <w:wordWrap/>
        <w:overflowPunct/>
        <w:topLinePunct w:val="0"/>
        <w:autoSpaceDE/>
        <w:autoSpaceDN/>
        <w:bidi w:val="0"/>
        <w:adjustRightInd/>
        <w:snapToGrid/>
        <w:spacing w:after="0" w:line="360" w:lineRule="auto"/>
        <w:ind w:left="420" w:leftChars="0" w:hanging="420"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功能验收：所有标注★★、★的强制性功能100%实现，第三章技术要求无遗漏，系统运行稳定无报错；</w:t>
      </w:r>
    </w:p>
    <w:p w14:paraId="15C50119">
      <w:pPr>
        <w:keepNext w:val="0"/>
        <w:keepLines w:val="0"/>
        <w:pageBreakBefore w:val="0"/>
        <w:widowControl w:val="0"/>
        <w:numPr>
          <w:ilvl w:val="0"/>
          <w:numId w:val="28"/>
        </w:numPr>
        <w:shd w:val="clear"/>
        <w:kinsoku/>
        <w:wordWrap/>
        <w:overflowPunct/>
        <w:topLinePunct w:val="0"/>
        <w:autoSpaceDE/>
        <w:autoSpaceDN/>
        <w:bidi w:val="0"/>
        <w:adjustRightInd/>
        <w:snapToGrid/>
        <w:spacing w:after="0" w:line="360" w:lineRule="auto"/>
        <w:ind w:left="420" w:leftChars="0" w:hanging="420"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对接验收：与医院HIS、病案系统数据同步准确率100%，无数据错乱、丢失，不影响医院正常业务开展；</w:t>
      </w:r>
    </w:p>
    <w:p w14:paraId="12FDAB68">
      <w:pPr>
        <w:keepNext w:val="0"/>
        <w:keepLines w:val="0"/>
        <w:pageBreakBefore w:val="0"/>
        <w:widowControl w:val="0"/>
        <w:numPr>
          <w:ilvl w:val="0"/>
          <w:numId w:val="28"/>
        </w:numPr>
        <w:shd w:val="clear"/>
        <w:kinsoku/>
        <w:wordWrap/>
        <w:overflowPunct/>
        <w:topLinePunct w:val="0"/>
        <w:autoSpaceDE/>
        <w:autoSpaceDN/>
        <w:bidi w:val="0"/>
        <w:adjustRightInd/>
        <w:snapToGrid/>
        <w:spacing w:after="0" w:line="360" w:lineRule="auto"/>
        <w:ind w:left="420" w:leftChars="0" w:hanging="420"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性能验收：系统支持医院当前业务并发量，响应速度符合临床操作要求，无卡顿；</w:t>
      </w:r>
    </w:p>
    <w:p w14:paraId="2DB9B603">
      <w:pPr>
        <w:keepNext w:val="0"/>
        <w:keepLines w:val="0"/>
        <w:pageBreakBefore w:val="0"/>
        <w:widowControl w:val="0"/>
        <w:numPr>
          <w:ilvl w:val="0"/>
          <w:numId w:val="28"/>
        </w:numPr>
        <w:shd w:val="clear"/>
        <w:kinsoku/>
        <w:wordWrap/>
        <w:overflowPunct/>
        <w:topLinePunct w:val="0"/>
        <w:autoSpaceDE/>
        <w:autoSpaceDN/>
        <w:bidi w:val="0"/>
        <w:adjustRightInd/>
        <w:snapToGrid/>
        <w:spacing w:after="0" w:line="360" w:lineRule="auto"/>
        <w:ind w:left="420" w:leftChars="0" w:hanging="420"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文档验收：交付全套操作手册、运维手册、接口文档、实施记录，所有文档与实际系统一致；</w:t>
      </w:r>
    </w:p>
    <w:p w14:paraId="41390FAA">
      <w:pPr>
        <w:keepNext w:val="0"/>
        <w:keepLines w:val="0"/>
        <w:pageBreakBefore w:val="0"/>
        <w:widowControl w:val="0"/>
        <w:numPr>
          <w:ilvl w:val="0"/>
          <w:numId w:val="28"/>
        </w:numPr>
        <w:shd w:val="clear"/>
        <w:kinsoku/>
        <w:wordWrap/>
        <w:overflowPunct/>
        <w:topLinePunct w:val="0"/>
        <w:autoSpaceDE/>
        <w:autoSpaceDN/>
        <w:bidi w:val="0"/>
        <w:adjustRightInd/>
        <w:snapToGrid/>
        <w:spacing w:after="0" w:line="360" w:lineRule="auto"/>
        <w:ind w:left="420" w:leftChars="0" w:hanging="420"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培训验收：参训人员实操考核通过率≥95%，可独立完成日常操作。</w:t>
      </w:r>
    </w:p>
    <w:p w14:paraId="4CE30AB8">
      <w:pPr>
        <w:keepNext w:val="0"/>
        <w:keepLines w:val="0"/>
        <w:pageBreakBefore w:val="0"/>
        <w:widowControl w:val="0"/>
        <w:numPr>
          <w:ilvl w:val="0"/>
          <w:numId w:val="28"/>
        </w:numPr>
        <w:shd w:val="clear"/>
        <w:kinsoku/>
        <w:wordWrap/>
        <w:overflowPunct/>
        <w:topLinePunct w:val="0"/>
        <w:autoSpaceDE/>
        <w:autoSpaceDN/>
        <w:bidi w:val="0"/>
        <w:adjustRightInd/>
        <w:snapToGrid/>
        <w:spacing w:after="0" w:line="360" w:lineRule="auto"/>
        <w:ind w:left="420" w:leftChars="0" w:hanging="420" w:firstLineChars="0"/>
        <w:textAlignment w:val="auto"/>
        <w:rPr>
          <w:rFonts w:hint="eastAsia" w:ascii="仿宋" w:hAnsi="仿宋" w:eastAsia="仿宋" w:cs="仿宋"/>
          <w:sz w:val="24"/>
          <w:szCs w:val="24"/>
          <w:highlight w:val="none"/>
        </w:rPr>
      </w:pPr>
      <w:r>
        <w:rPr>
          <w:rFonts w:hint="eastAsia" w:ascii="仿宋" w:hAnsi="仿宋" w:eastAsia="仿宋" w:cs="仿宋"/>
          <w:sz w:val="24"/>
          <w:highlight w:val="none"/>
        </w:rPr>
        <w:t>验收合格由双方签署《项目验收报告》，作为付款依据。</w:t>
      </w:r>
    </w:p>
    <w:p w14:paraId="5151396A">
      <w:pPr>
        <w:keepNext/>
        <w:keepLines/>
        <w:numPr>
          <w:ilvl w:val="0"/>
          <w:numId w:val="24"/>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158" w:name="_Toc16137"/>
      <w:bookmarkStart w:id="159" w:name="_Toc32408"/>
      <w:bookmarkStart w:id="160" w:name="_Toc21362"/>
      <w:bookmarkStart w:id="161" w:name="_Toc28479"/>
      <w:bookmarkStart w:id="162" w:name="_Toc9016"/>
      <w:bookmarkStart w:id="163" w:name="_Toc21738"/>
      <w:r>
        <w:rPr>
          <w:rFonts w:hint="eastAsia" w:ascii="仿宋" w:hAnsi="仿宋" w:eastAsia="仿宋" w:cs="仿宋"/>
          <w:b/>
          <w:kern w:val="0"/>
          <w:sz w:val="24"/>
          <w:highlight w:val="none"/>
        </w:rPr>
        <w:t>服务要求</w:t>
      </w:r>
      <w:bookmarkEnd w:id="158"/>
      <w:bookmarkEnd w:id="159"/>
      <w:bookmarkEnd w:id="160"/>
      <w:bookmarkEnd w:id="161"/>
      <w:bookmarkEnd w:id="162"/>
      <w:bookmarkEnd w:id="163"/>
    </w:p>
    <w:p w14:paraId="7B6EB99D">
      <w:pPr>
        <w:keepNext w:val="0"/>
        <w:keepLines w:val="0"/>
        <w:pageBreakBefore w:val="0"/>
        <w:widowControl w:val="0"/>
        <w:numPr>
          <w:ilvl w:val="0"/>
          <w:numId w:val="29"/>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服务期限：免费服务期至少1年（自验收合格之日起），含系统维护、版本升级、问题处理，不得另行收费。</w:t>
      </w:r>
    </w:p>
    <w:p w14:paraId="3C8CF2D6">
      <w:pPr>
        <w:keepNext w:val="0"/>
        <w:keepLines w:val="0"/>
        <w:pageBreakBefore w:val="0"/>
        <w:widowControl w:val="0"/>
        <w:numPr>
          <w:ilvl w:val="0"/>
          <w:numId w:val="29"/>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响应时效：7×12小时技术支持，重大问题2小时响应，一般问题24小时解决。</w:t>
      </w:r>
    </w:p>
    <w:p w14:paraId="0A12090E">
      <w:pPr>
        <w:keepNext w:val="0"/>
        <w:keepLines w:val="0"/>
        <w:pageBreakBefore w:val="0"/>
        <w:widowControl w:val="0"/>
        <w:numPr>
          <w:ilvl w:val="0"/>
          <w:numId w:val="29"/>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szCs w:val="24"/>
          <w:highlight w:val="none"/>
        </w:rPr>
      </w:pPr>
      <w:r>
        <w:rPr>
          <w:rFonts w:hint="eastAsia" w:ascii="仿宋" w:hAnsi="仿宋" w:eastAsia="仿宋" w:cs="仿宋"/>
          <w:sz w:val="24"/>
          <w:highlight w:val="none"/>
        </w:rPr>
        <w:t>本地化服务：提供本地团队快速响应服务</w:t>
      </w:r>
      <w:r>
        <w:rPr>
          <w:rFonts w:hint="eastAsia" w:ascii="仿宋" w:hAnsi="仿宋" w:eastAsia="仿宋" w:cs="仿宋"/>
          <w:sz w:val="24"/>
          <w:szCs w:val="24"/>
          <w:highlight w:val="none"/>
        </w:rPr>
        <w:t>。</w:t>
      </w:r>
    </w:p>
    <w:bookmarkEnd w:id="151"/>
    <w:p w14:paraId="0270DD74">
      <w:pPr>
        <w:keepNext/>
        <w:keepLines/>
        <w:numPr>
          <w:ilvl w:val="0"/>
          <w:numId w:val="24"/>
        </w:numPr>
        <w:shd w:val="clear"/>
        <w:tabs>
          <w:tab w:val="left" w:pos="720"/>
        </w:tabs>
        <w:adjustRightInd w:val="0"/>
        <w:spacing w:before="312" w:after="120" w:line="360" w:lineRule="auto"/>
        <w:jc w:val="left"/>
        <w:textAlignment w:val="baseline"/>
        <w:outlineLvl w:val="1"/>
        <w:rPr>
          <w:rFonts w:hint="eastAsia" w:ascii="仿宋" w:hAnsi="仿宋" w:eastAsia="仿宋" w:cs="仿宋"/>
          <w:b/>
          <w:bCs/>
          <w:sz w:val="24"/>
          <w:szCs w:val="24"/>
          <w:highlight w:val="none"/>
          <w:lang w:val="en-US" w:eastAsia="zh-CN"/>
        </w:rPr>
      </w:pPr>
      <w:bookmarkStart w:id="164" w:name="_Toc19102"/>
      <w:bookmarkStart w:id="165" w:name="_Toc9765"/>
      <w:bookmarkStart w:id="166" w:name="_Toc16093"/>
      <w:bookmarkStart w:id="167" w:name="_Toc23204"/>
      <w:bookmarkStart w:id="168" w:name="_Toc10402"/>
      <w:r>
        <w:rPr>
          <w:rFonts w:hint="eastAsia" w:ascii="仿宋" w:hAnsi="仿宋" w:eastAsia="仿宋" w:cs="仿宋"/>
          <w:b/>
          <w:bCs/>
          <w:sz w:val="24"/>
          <w:szCs w:val="24"/>
          <w:highlight w:val="none"/>
          <w:lang w:val="en-US" w:eastAsia="zh-CN"/>
        </w:rPr>
        <w:t>违约责任</w:t>
      </w:r>
      <w:bookmarkEnd w:id="164"/>
      <w:bookmarkEnd w:id="165"/>
      <w:bookmarkEnd w:id="166"/>
      <w:r>
        <w:rPr>
          <w:rFonts w:hint="eastAsia" w:ascii="仿宋" w:hAnsi="仿宋" w:eastAsia="仿宋" w:cs="仿宋"/>
          <w:sz w:val="24"/>
          <w:highlight w:val="none"/>
          <w:lang w:val="en-US" w:eastAsia="zh-CN"/>
        </w:rPr>
        <w:t>（</w:t>
      </w:r>
      <w:r>
        <w:rPr>
          <w:rFonts w:hint="eastAsia" w:ascii="仿宋" w:hAnsi="仿宋" w:eastAsia="仿宋" w:cs="仿宋"/>
          <w:b/>
          <w:bCs/>
          <w:sz w:val="24"/>
          <w:highlight w:val="none"/>
          <w:lang w:val="en-US" w:eastAsia="zh-CN"/>
        </w:rPr>
        <w:t>合同签署时可进行协商</w:t>
      </w:r>
      <w:r>
        <w:rPr>
          <w:rFonts w:hint="eastAsia" w:ascii="仿宋" w:hAnsi="仿宋" w:eastAsia="仿宋" w:cs="仿宋"/>
          <w:sz w:val="24"/>
          <w:highlight w:val="none"/>
          <w:lang w:val="en-US" w:eastAsia="zh-CN"/>
        </w:rPr>
        <w:t>）</w:t>
      </w:r>
      <w:bookmarkEnd w:id="167"/>
      <w:bookmarkEnd w:id="168"/>
    </w:p>
    <w:p w14:paraId="2C4986B2">
      <w:pPr>
        <w:numPr>
          <w:ilvl w:val="1"/>
          <w:numId w:val="30"/>
        </w:numPr>
        <w:shd w:val="clear"/>
        <w:tabs>
          <w:tab w:val="clear" w:pos="0"/>
        </w:tabs>
        <w:spacing w:line="360" w:lineRule="auto"/>
        <w:ind w:left="567" w:leftChars="0" w:hanging="147"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卖方违约责任的承担方式和计算方法：</w:t>
      </w:r>
    </w:p>
    <w:tbl>
      <w:tblPr>
        <w:tblStyle w:val="19"/>
        <w:tblW w:w="105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65"/>
        <w:gridCol w:w="6272"/>
      </w:tblGrid>
      <w:tr w14:paraId="11524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44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违约情形</w:t>
            </w:r>
          </w:p>
        </w:tc>
        <w:tc>
          <w:tcPr>
            <w:tcW w:w="6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B2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违约责任</w:t>
            </w:r>
          </w:p>
        </w:tc>
      </w:tr>
      <w:tr w14:paraId="1BA85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302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逾期交付/实施：逾期开工超过15日，或关键节点滞后超过30日</w:t>
            </w:r>
          </w:p>
        </w:tc>
        <w:tc>
          <w:tcPr>
            <w:tcW w:w="6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5010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每逾期1日，向买方支付合同总价款0.05%的违约金；逾期超过60日仍未整改的，买方有权单方解除合同，卖方除支付前述违约金外，还需额外支付合同总价30%的赔偿金，并退还买方已支付的全部款项。</w:t>
            </w:r>
          </w:p>
        </w:tc>
      </w:tr>
      <w:tr w14:paraId="11B3C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957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功能不符合要求：已完成功能不符合招标文件第三章强制性要求（标记★/★★条款）且拒绝整改</w:t>
            </w:r>
          </w:p>
        </w:tc>
        <w:tc>
          <w:tcPr>
            <w:tcW w:w="6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F35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买方有权要求卖方在10个工作日内无偿整改至达标；逾期未整改的，买方有权委托第三方整改，所有费用由卖方承担，同时卖方需向买方支付合同总额20%的违约金。</w:t>
            </w:r>
          </w:p>
        </w:tc>
      </w:tr>
      <w:tr w14:paraId="4FAF6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101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对接/运行故障：对接HIS系统失败、或数据错乱导致医疗秩序混乱；系统上线后月度故障≥3次</w:t>
            </w:r>
          </w:p>
        </w:tc>
        <w:tc>
          <w:tcPr>
            <w:tcW w:w="6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4B1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卖方需立即启动应急处置，2小时内响应、24小时内恢复系统正常运行，赔偿买方因此产生的全部直接损失（含患者索赔、业务中断损失等）；同时支付合同总额10%的违约金，拒不整改的，买方有权解除合同，卖方退还已收全部款项并承担所有后续损失。</w:t>
            </w:r>
          </w:p>
        </w:tc>
      </w:tr>
      <w:tr w14:paraId="4BC47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CA9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服务违约：免费服务期内拒绝适配医院业务流程调整（如新增科室、DRG规则调整、HIS系统升级导致的接口变动）；未按约定提供7×12小时技术支持、重大问题2小时未响应/一般问题24小时未解决</w:t>
            </w:r>
          </w:p>
        </w:tc>
        <w:tc>
          <w:tcPr>
            <w:tcW w:w="6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2A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每次支付1000元违约金，并限期完成适配/服务整改；拒不履行的，买方有权另行聘请第三方提供服务，所有费用由卖方承担。</w:t>
            </w:r>
          </w:p>
        </w:tc>
      </w:tr>
      <w:tr w14:paraId="5EA41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0CEC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转包/违法分包：未经买方书面同意将项目转包、违法分包</w:t>
            </w:r>
          </w:p>
        </w:tc>
        <w:tc>
          <w:tcPr>
            <w:tcW w:w="6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8CF9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买方有权立即解除合同，卖方支付5万元违约金，退还已收全部款项，并赔偿买方因此产生的所有损失。</w:t>
            </w:r>
          </w:p>
        </w:tc>
      </w:tr>
      <w:tr w14:paraId="60AFD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9D9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投标材料造假：投标文件中的资质、案例、知识产权证明等材料存在虚假、伪造情形</w:t>
            </w:r>
          </w:p>
        </w:tc>
        <w:tc>
          <w:tcPr>
            <w:tcW w:w="6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EA80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取消中标资格，卖方赔偿买方因此产生的一切损失（含重新招标的差价、工期延误损失等）。</w:t>
            </w:r>
          </w:p>
        </w:tc>
      </w:tr>
      <w:tr w14:paraId="022B1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03E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数据泄露：泄露患者隐私、医院业务数据等保密信息</w:t>
            </w:r>
          </w:p>
        </w:tc>
        <w:tc>
          <w:tcPr>
            <w:tcW w:w="6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91C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卖方承担全部法律责任，支付10万元违约金，赔偿买方因此产生的所有直接及间接损失（含患者索赔、行政处罚、商誉损失等）。</w:t>
            </w:r>
          </w:p>
        </w:tc>
      </w:tr>
    </w:tbl>
    <w:p w14:paraId="19BB41AC">
      <w:pPr>
        <w:numPr>
          <w:ilvl w:val="-1"/>
          <w:numId w:val="0"/>
        </w:numPr>
        <w:shd w:val="clear"/>
        <w:spacing w:line="360" w:lineRule="auto"/>
        <w:ind w:left="420" w:leftChars="0" w:firstLine="0" w:firstLineChars="0"/>
        <w:rPr>
          <w:rFonts w:hint="eastAsia" w:ascii="仿宋" w:hAnsi="仿宋" w:eastAsia="仿宋" w:cs="仿宋"/>
          <w:sz w:val="24"/>
          <w:highlight w:val="none"/>
          <w:lang w:val="en-US" w:eastAsia="zh-CN"/>
        </w:rPr>
      </w:pPr>
    </w:p>
    <w:p w14:paraId="5FF89FC9">
      <w:pPr>
        <w:keepNext w:val="0"/>
        <w:keepLines w:val="0"/>
        <w:pageBreakBefore w:val="0"/>
        <w:widowControl w:val="0"/>
        <w:numPr>
          <w:ilvl w:val="1"/>
          <w:numId w:val="30"/>
        </w:numPr>
        <w:shd w:val="clear"/>
        <w:tabs>
          <w:tab w:val="clear" w:pos="0"/>
        </w:tabs>
        <w:kinsoku/>
        <w:wordWrap/>
        <w:overflowPunct/>
        <w:topLinePunct w:val="0"/>
        <w:autoSpaceDE/>
        <w:autoSpaceDN/>
        <w:bidi w:val="0"/>
        <w:adjustRightInd/>
        <w:snapToGrid/>
        <w:spacing w:line="360" w:lineRule="auto"/>
        <w:ind w:left="567" w:leftChars="0" w:hanging="147" w:firstLineChars="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关于卖方违约解除合同的特别约定：</w:t>
      </w:r>
    </w:p>
    <w:p w14:paraId="3CB869C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卖方发生下列任一情形，买方发出书面通知后14日内未整改的，有权单方解除合同：</w:t>
      </w:r>
    </w:p>
    <w:p w14:paraId="17C680EC">
      <w:pPr>
        <w:keepNext w:val="0"/>
        <w:keepLines w:val="0"/>
        <w:pageBreakBefore w:val="0"/>
        <w:widowControl w:val="0"/>
        <w:numPr>
          <w:ilvl w:val="0"/>
          <w:numId w:val="31"/>
        </w:numPr>
        <w:shd w:val="clear"/>
        <w:kinsoku/>
        <w:wordWrap/>
        <w:overflowPunct/>
        <w:topLinePunct w:val="0"/>
        <w:autoSpaceDE/>
        <w:autoSpaceDN/>
        <w:bidi w:val="0"/>
        <w:adjustRightInd/>
        <w:snapToGrid/>
        <w:spacing w:line="360" w:lineRule="auto"/>
        <w:ind w:left="425" w:leftChars="0" w:firstLine="415" w:firstLineChars="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明确表示或以行为表明不履行合同主要义务；</w:t>
      </w:r>
    </w:p>
    <w:p w14:paraId="69909C73">
      <w:pPr>
        <w:keepNext w:val="0"/>
        <w:keepLines w:val="0"/>
        <w:pageBreakBefore w:val="0"/>
        <w:widowControl w:val="0"/>
        <w:numPr>
          <w:ilvl w:val="0"/>
          <w:numId w:val="31"/>
        </w:numPr>
        <w:shd w:val="clear"/>
        <w:kinsoku/>
        <w:wordWrap/>
        <w:overflowPunct/>
        <w:topLinePunct w:val="0"/>
        <w:autoSpaceDE/>
        <w:autoSpaceDN/>
        <w:bidi w:val="0"/>
        <w:adjustRightInd/>
        <w:snapToGrid/>
        <w:spacing w:line="360" w:lineRule="auto"/>
        <w:ind w:left="425" w:leftChars="0" w:firstLine="415" w:firstLineChars="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逾期开工超过15日，或关键节点滞后超过30日；</w:t>
      </w:r>
    </w:p>
    <w:p w14:paraId="33923DD4">
      <w:pPr>
        <w:keepNext w:val="0"/>
        <w:keepLines w:val="0"/>
        <w:pageBreakBefore w:val="0"/>
        <w:widowControl w:val="0"/>
        <w:numPr>
          <w:ilvl w:val="0"/>
          <w:numId w:val="31"/>
        </w:numPr>
        <w:shd w:val="clear"/>
        <w:kinsoku/>
        <w:wordWrap/>
        <w:overflowPunct/>
        <w:topLinePunct w:val="0"/>
        <w:autoSpaceDE/>
        <w:autoSpaceDN/>
        <w:bidi w:val="0"/>
        <w:adjustRightInd/>
        <w:snapToGrid/>
        <w:spacing w:line="360" w:lineRule="auto"/>
        <w:ind w:left="425" w:leftChars="0" w:firstLine="415" w:firstLineChars="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已完成功能不符合招标文件强制性要求且拒绝整改；</w:t>
      </w:r>
    </w:p>
    <w:p w14:paraId="5520C3EE">
      <w:pPr>
        <w:keepNext w:val="0"/>
        <w:keepLines w:val="0"/>
        <w:pageBreakBefore w:val="0"/>
        <w:widowControl w:val="0"/>
        <w:numPr>
          <w:ilvl w:val="0"/>
          <w:numId w:val="31"/>
        </w:numPr>
        <w:shd w:val="clear"/>
        <w:kinsoku/>
        <w:wordWrap/>
        <w:overflowPunct/>
        <w:topLinePunct w:val="0"/>
        <w:autoSpaceDE/>
        <w:autoSpaceDN/>
        <w:bidi w:val="0"/>
        <w:adjustRightInd/>
        <w:snapToGrid/>
        <w:spacing w:line="360" w:lineRule="auto"/>
        <w:ind w:left="425" w:leftChars="0" w:firstLine="415" w:firstLineChars="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将项目转包、违法分包；</w:t>
      </w:r>
    </w:p>
    <w:p w14:paraId="3E8B6A2D">
      <w:pPr>
        <w:keepNext w:val="0"/>
        <w:keepLines w:val="0"/>
        <w:pageBreakBefore w:val="0"/>
        <w:widowControl w:val="0"/>
        <w:numPr>
          <w:ilvl w:val="0"/>
          <w:numId w:val="31"/>
        </w:numPr>
        <w:shd w:val="clear"/>
        <w:kinsoku/>
        <w:wordWrap/>
        <w:overflowPunct/>
        <w:topLinePunct w:val="0"/>
        <w:autoSpaceDE/>
        <w:autoSpaceDN/>
        <w:bidi w:val="0"/>
        <w:adjustRightInd/>
        <w:snapToGrid/>
        <w:spacing w:line="360" w:lineRule="auto"/>
        <w:ind w:left="425" w:leftChars="0" w:firstLine="415" w:firstLineChars="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破产、丧失相关经营资质；</w:t>
      </w:r>
    </w:p>
    <w:p w14:paraId="7CDA39A6">
      <w:pPr>
        <w:keepNext w:val="0"/>
        <w:keepLines w:val="0"/>
        <w:pageBreakBefore w:val="0"/>
        <w:widowControl w:val="0"/>
        <w:numPr>
          <w:ilvl w:val="0"/>
          <w:numId w:val="31"/>
        </w:numPr>
        <w:shd w:val="clear"/>
        <w:kinsoku/>
        <w:wordWrap/>
        <w:overflowPunct/>
        <w:topLinePunct w:val="0"/>
        <w:autoSpaceDE/>
        <w:autoSpaceDN/>
        <w:bidi w:val="0"/>
        <w:adjustRightInd/>
        <w:snapToGrid/>
        <w:spacing w:line="360" w:lineRule="auto"/>
        <w:ind w:left="425" w:leftChars="0" w:firstLine="415" w:firstLineChars="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泄露患者数据、医院保密信息，情节严重。</w:t>
      </w:r>
    </w:p>
    <w:p w14:paraId="38232113">
      <w:pPr>
        <w:keepNext w:val="0"/>
        <w:keepLines w:val="0"/>
        <w:pageBreakBefore w:val="0"/>
        <w:widowControl w:val="0"/>
        <w:numPr>
          <w:ilvl w:val="1"/>
          <w:numId w:val="30"/>
        </w:numPr>
        <w:shd w:val="clear"/>
        <w:tabs>
          <w:tab w:val="clear" w:pos="0"/>
        </w:tabs>
        <w:kinsoku/>
        <w:wordWrap/>
        <w:overflowPunct/>
        <w:topLinePunct w:val="0"/>
        <w:autoSpaceDE/>
        <w:autoSpaceDN/>
        <w:bidi w:val="0"/>
        <w:adjustRightInd/>
        <w:snapToGrid/>
        <w:spacing w:line="360" w:lineRule="auto"/>
        <w:ind w:left="567" w:leftChars="0" w:hanging="147" w:firstLineChars="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违约赔偿范围</w:t>
      </w:r>
    </w:p>
    <w:p w14:paraId="7EE0569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卖方违约除支付违约金外，还应赔偿买方实际损失，包括但不限于：</w:t>
      </w:r>
    </w:p>
    <w:p w14:paraId="3CD8BDC5">
      <w:pPr>
        <w:keepNext w:val="0"/>
        <w:keepLines w:val="0"/>
        <w:pageBreakBefore w:val="0"/>
        <w:widowControl w:val="0"/>
        <w:numPr>
          <w:ilvl w:val="0"/>
          <w:numId w:val="32"/>
        </w:numPr>
        <w:shd w:val="clear"/>
        <w:kinsoku/>
        <w:wordWrap/>
        <w:overflowPunct/>
        <w:topLinePunct w:val="0"/>
        <w:autoSpaceDE/>
        <w:autoSpaceDN/>
        <w:bidi w:val="0"/>
        <w:adjustRightInd/>
        <w:snapToGrid/>
        <w:spacing w:line="360" w:lineRule="auto"/>
        <w:ind w:left="425" w:leftChars="0" w:firstLine="480" w:firstLineChars="20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直接经济损失、患者索赔；</w:t>
      </w:r>
    </w:p>
    <w:p w14:paraId="51EF55F4">
      <w:pPr>
        <w:keepNext w:val="0"/>
        <w:keepLines w:val="0"/>
        <w:pageBreakBefore w:val="0"/>
        <w:widowControl w:val="0"/>
        <w:numPr>
          <w:ilvl w:val="0"/>
          <w:numId w:val="32"/>
        </w:numPr>
        <w:shd w:val="clear"/>
        <w:kinsoku/>
        <w:wordWrap/>
        <w:overflowPunct/>
        <w:topLinePunct w:val="0"/>
        <w:autoSpaceDE/>
        <w:autoSpaceDN/>
        <w:bidi w:val="0"/>
        <w:adjustRightInd/>
        <w:snapToGrid/>
        <w:spacing w:line="360" w:lineRule="auto"/>
        <w:ind w:left="425" w:leftChars="0" w:firstLine="480" w:firstLineChars="20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第三方整改费用、数据恢复费用；</w:t>
      </w:r>
    </w:p>
    <w:p w14:paraId="678A6B3C">
      <w:pPr>
        <w:keepNext w:val="0"/>
        <w:keepLines w:val="0"/>
        <w:pageBreakBefore w:val="0"/>
        <w:widowControl w:val="0"/>
        <w:numPr>
          <w:ilvl w:val="0"/>
          <w:numId w:val="32"/>
        </w:numPr>
        <w:shd w:val="clear"/>
        <w:kinsoku/>
        <w:wordWrap/>
        <w:overflowPunct/>
        <w:topLinePunct w:val="0"/>
        <w:autoSpaceDE/>
        <w:autoSpaceDN/>
        <w:bidi w:val="0"/>
        <w:adjustRightInd/>
        <w:snapToGrid/>
        <w:spacing w:line="360" w:lineRule="auto"/>
        <w:ind w:left="425" w:leftChars="0" w:firstLine="480" w:firstLineChars="20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诉讼费、仲裁费、律师费、公证费。</w:t>
      </w:r>
    </w:p>
    <w:p w14:paraId="40C5388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总赔偿额最高不超过合同总额的2倍。</w:t>
      </w:r>
      <w:r>
        <w:rPr>
          <w:rFonts w:hint="eastAsia" w:ascii="仿宋" w:hAnsi="仿宋" w:eastAsia="仿宋" w:cs="仿宋"/>
          <w:sz w:val="24"/>
          <w:highlight w:val="none"/>
          <w:lang w:val="en-US" w:eastAsia="zh-CN"/>
        </w:rPr>
        <w:br w:type="page"/>
      </w:r>
    </w:p>
    <w:p w14:paraId="2380121A">
      <w:pPr>
        <w:pStyle w:val="2"/>
        <w:shd w:val="clear"/>
        <w:jc w:val="center"/>
        <w:rPr>
          <w:rFonts w:hint="eastAsia" w:ascii="仿宋" w:hAnsi="仿宋" w:eastAsia="仿宋" w:cs="仿宋"/>
          <w:sz w:val="24"/>
          <w:highlight w:val="none"/>
        </w:rPr>
      </w:pPr>
      <w:bookmarkStart w:id="169" w:name="_Toc1126"/>
      <w:bookmarkStart w:id="170" w:name="_Toc3217"/>
      <w:bookmarkStart w:id="171" w:name="_Toc8085"/>
      <w:bookmarkStart w:id="172" w:name="_Toc1565"/>
      <w:bookmarkStart w:id="173" w:name="_Toc32196"/>
      <w:bookmarkStart w:id="174" w:name="_Toc17689"/>
      <w:r>
        <w:rPr>
          <w:rFonts w:hint="eastAsia" w:ascii="仿宋" w:hAnsi="仿宋" w:eastAsia="仿宋" w:cs="仿宋"/>
          <w:sz w:val="24"/>
          <w:highlight w:val="none"/>
        </w:rPr>
        <w:t>第四章附件</w:t>
      </w:r>
      <w:bookmarkEnd w:id="169"/>
      <w:bookmarkEnd w:id="170"/>
      <w:bookmarkEnd w:id="171"/>
      <w:bookmarkEnd w:id="172"/>
      <w:bookmarkEnd w:id="173"/>
      <w:bookmarkEnd w:id="174"/>
    </w:p>
    <w:p w14:paraId="6F4648A0">
      <w:pPr>
        <w:pStyle w:val="18"/>
        <w:numPr>
          <w:ilvl w:val="0"/>
          <w:numId w:val="33"/>
        </w:numPr>
        <w:shd w:val="clear"/>
        <w:spacing w:line="360" w:lineRule="auto"/>
        <w:ind w:left="425" w:leftChars="0" w:hanging="425" w:firstLineChars="0"/>
        <w:rPr>
          <w:rFonts w:hint="eastAsia" w:ascii="仿宋" w:hAnsi="仿宋" w:eastAsia="仿宋" w:cs="仿宋"/>
          <w:kern w:val="0"/>
          <w:sz w:val="24"/>
          <w:highlight w:val="none"/>
          <w:lang w:eastAsia="zh-CN"/>
        </w:rPr>
      </w:pPr>
      <w:r>
        <w:rPr>
          <w:rFonts w:hint="eastAsia" w:ascii="仿宋" w:hAnsi="仿宋" w:eastAsia="仿宋" w:cs="仿宋"/>
          <w:kern w:val="0"/>
          <w:sz w:val="24"/>
          <w:highlight w:val="none"/>
        </w:rPr>
        <w:t>封面</w:t>
      </w:r>
      <w:r>
        <w:rPr>
          <w:rFonts w:hint="eastAsia" w:ascii="仿宋" w:hAnsi="仿宋" w:eastAsia="仿宋" w:cs="仿宋"/>
          <w:kern w:val="0"/>
          <w:sz w:val="24"/>
          <w:highlight w:val="none"/>
          <w:lang w:eastAsia="zh-CN"/>
        </w:rPr>
        <w:t>；</w:t>
      </w:r>
    </w:p>
    <w:p w14:paraId="2081DF27">
      <w:pPr>
        <w:pStyle w:val="18"/>
        <w:numPr>
          <w:ilvl w:val="0"/>
          <w:numId w:val="33"/>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招标文件答疑确认函</w:t>
      </w:r>
      <w:r>
        <w:rPr>
          <w:rFonts w:hint="eastAsia" w:ascii="仿宋" w:hAnsi="仿宋" w:eastAsia="仿宋" w:cs="仿宋"/>
          <w:kern w:val="0"/>
          <w:sz w:val="24"/>
          <w:szCs w:val="24"/>
          <w:highlight w:val="none"/>
          <w:lang w:eastAsia="zh-CN"/>
        </w:rPr>
        <w:t>；</w:t>
      </w:r>
    </w:p>
    <w:p w14:paraId="67615DCD">
      <w:pPr>
        <w:pStyle w:val="18"/>
        <w:numPr>
          <w:ilvl w:val="0"/>
          <w:numId w:val="33"/>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投标声明函、投标确认书、投标响应确认函</w:t>
      </w:r>
      <w:r>
        <w:rPr>
          <w:rFonts w:hint="eastAsia" w:ascii="仿宋" w:hAnsi="仿宋" w:eastAsia="仿宋" w:cs="仿宋"/>
          <w:kern w:val="0"/>
          <w:sz w:val="24"/>
          <w:szCs w:val="24"/>
          <w:highlight w:val="none"/>
          <w:lang w:eastAsia="zh-CN"/>
        </w:rPr>
        <w:t>；</w:t>
      </w:r>
    </w:p>
    <w:p w14:paraId="672EA27B">
      <w:pPr>
        <w:pStyle w:val="18"/>
        <w:numPr>
          <w:ilvl w:val="0"/>
          <w:numId w:val="33"/>
        </w:numPr>
        <w:shd w:val="clear"/>
        <w:spacing w:line="360" w:lineRule="auto"/>
        <w:ind w:left="425" w:leftChars="0" w:hanging="425" w:firstLineChars="0"/>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报价函；</w:t>
      </w:r>
    </w:p>
    <w:p w14:paraId="295D5CE2">
      <w:pPr>
        <w:pStyle w:val="18"/>
        <w:numPr>
          <w:ilvl w:val="0"/>
          <w:numId w:val="33"/>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报价表</w:t>
      </w:r>
      <w:r>
        <w:rPr>
          <w:rFonts w:hint="eastAsia" w:ascii="仿宋" w:hAnsi="仿宋" w:eastAsia="仿宋" w:cs="仿宋"/>
          <w:kern w:val="0"/>
          <w:sz w:val="24"/>
          <w:szCs w:val="24"/>
          <w:highlight w:val="none"/>
          <w:lang w:eastAsia="zh-CN"/>
        </w:rPr>
        <w:t>；</w:t>
      </w:r>
    </w:p>
    <w:p w14:paraId="569D8167">
      <w:pPr>
        <w:pStyle w:val="18"/>
        <w:numPr>
          <w:ilvl w:val="0"/>
          <w:numId w:val="33"/>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技术规格偏离表</w:t>
      </w:r>
      <w:r>
        <w:rPr>
          <w:rFonts w:hint="eastAsia" w:ascii="仿宋" w:hAnsi="仿宋" w:eastAsia="仿宋" w:cs="仿宋"/>
          <w:kern w:val="0"/>
          <w:sz w:val="24"/>
          <w:szCs w:val="24"/>
          <w:highlight w:val="none"/>
          <w:lang w:eastAsia="zh-CN"/>
        </w:rPr>
        <w:t>；</w:t>
      </w:r>
    </w:p>
    <w:p w14:paraId="0DC371D4">
      <w:pPr>
        <w:pStyle w:val="18"/>
        <w:numPr>
          <w:ilvl w:val="0"/>
          <w:numId w:val="33"/>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lang w:val="en-US" w:eastAsia="zh-CN"/>
        </w:rPr>
        <w:t>商务条款</w:t>
      </w:r>
      <w:r>
        <w:rPr>
          <w:rFonts w:hint="eastAsia" w:ascii="仿宋" w:hAnsi="仿宋" w:eastAsia="仿宋" w:cs="仿宋"/>
          <w:kern w:val="0"/>
          <w:sz w:val="24"/>
          <w:szCs w:val="24"/>
          <w:highlight w:val="none"/>
        </w:rPr>
        <w:t>偏离表</w:t>
      </w:r>
      <w:r>
        <w:rPr>
          <w:rFonts w:hint="eastAsia" w:ascii="仿宋" w:hAnsi="仿宋" w:eastAsia="仿宋" w:cs="仿宋"/>
          <w:kern w:val="0"/>
          <w:sz w:val="24"/>
          <w:szCs w:val="24"/>
          <w:highlight w:val="none"/>
          <w:lang w:eastAsia="zh-CN"/>
        </w:rPr>
        <w:t>；</w:t>
      </w:r>
    </w:p>
    <w:p w14:paraId="7A4E87D4">
      <w:pPr>
        <w:pStyle w:val="18"/>
        <w:numPr>
          <w:ilvl w:val="0"/>
          <w:numId w:val="33"/>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项目实施方案</w:t>
      </w:r>
      <w:r>
        <w:rPr>
          <w:rFonts w:hint="eastAsia" w:ascii="仿宋" w:hAnsi="仿宋" w:eastAsia="仿宋" w:cs="仿宋"/>
          <w:kern w:val="0"/>
          <w:sz w:val="24"/>
          <w:szCs w:val="24"/>
          <w:highlight w:val="none"/>
          <w:lang w:eastAsia="zh-CN"/>
        </w:rPr>
        <w:t>；</w:t>
      </w:r>
    </w:p>
    <w:p w14:paraId="10B17E0D">
      <w:pPr>
        <w:pStyle w:val="18"/>
        <w:numPr>
          <w:ilvl w:val="0"/>
          <w:numId w:val="33"/>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服务承诺函</w:t>
      </w:r>
      <w:r>
        <w:rPr>
          <w:rFonts w:hint="eastAsia" w:ascii="仿宋" w:hAnsi="仿宋" w:eastAsia="仿宋" w:cs="仿宋"/>
          <w:kern w:val="0"/>
          <w:sz w:val="24"/>
          <w:szCs w:val="24"/>
          <w:highlight w:val="none"/>
          <w:lang w:eastAsia="zh-CN"/>
        </w:rPr>
        <w:t>；</w:t>
      </w:r>
    </w:p>
    <w:p w14:paraId="2A2FBA5A">
      <w:pPr>
        <w:pStyle w:val="18"/>
        <w:numPr>
          <w:ilvl w:val="0"/>
          <w:numId w:val="33"/>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lang w:eastAsia="zh-CN"/>
        </w:rPr>
        <w:t>自投标截止之日起倒算36个月内无重大违法记录承诺书；</w:t>
      </w:r>
    </w:p>
    <w:p w14:paraId="6B96052A">
      <w:pPr>
        <w:pStyle w:val="18"/>
        <w:numPr>
          <w:ilvl w:val="0"/>
          <w:numId w:val="33"/>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lang w:eastAsia="zh-CN"/>
        </w:rPr>
        <w:t>投标人身份证明格式（下列二选一）；</w:t>
      </w:r>
    </w:p>
    <w:p w14:paraId="79E6F3F2">
      <w:pPr>
        <w:pStyle w:val="18"/>
        <w:numPr>
          <w:ilvl w:val="0"/>
          <w:numId w:val="33"/>
        </w:numPr>
        <w:shd w:val="clear"/>
        <w:spacing w:line="360" w:lineRule="auto"/>
        <w:ind w:left="425" w:leftChars="0" w:hanging="425" w:firstLineChars="0"/>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电子版投标文件密码（格式自拟）</w:t>
      </w:r>
      <w:bookmarkStart w:id="175" w:name="_Toc24564"/>
      <w:r>
        <w:rPr>
          <w:rFonts w:hint="eastAsia" w:ascii="仿宋" w:hAnsi="仿宋" w:eastAsia="仿宋" w:cs="仿宋"/>
          <w:kern w:val="0"/>
          <w:sz w:val="24"/>
          <w:szCs w:val="24"/>
          <w:highlight w:val="none"/>
          <w:lang w:val="en-US" w:eastAsia="zh-CN"/>
        </w:rPr>
        <w:t>；</w:t>
      </w:r>
    </w:p>
    <w:p w14:paraId="6A5679F2">
      <w:pPr>
        <w:pStyle w:val="18"/>
        <w:numPr>
          <w:ilvl w:val="0"/>
          <w:numId w:val="33"/>
        </w:numPr>
        <w:shd w:val="clear"/>
        <w:spacing w:line="360" w:lineRule="auto"/>
        <w:ind w:left="425" w:leftChars="0" w:hanging="425" w:firstLineChars="0"/>
        <w:rPr>
          <w:rFonts w:hint="eastAsia" w:ascii="仿宋" w:hAnsi="仿宋" w:eastAsia="仿宋" w:cs="仿宋"/>
          <w:kern w:val="0"/>
          <w:sz w:val="24"/>
          <w:szCs w:val="24"/>
          <w:highlight w:val="none"/>
          <w:lang w:val="en-US" w:eastAsia="zh-CN"/>
        </w:rPr>
        <w:sectPr>
          <w:headerReference r:id="rId3" w:type="default"/>
          <w:footerReference r:id="rId4" w:type="default"/>
          <w:pgSz w:w="11906" w:h="16838"/>
          <w:pgMar w:top="1701" w:right="1418" w:bottom="1134" w:left="1418" w:header="851" w:footer="992" w:gutter="0"/>
          <w:pgNumType w:fmt="decimal" w:start="1"/>
          <w:cols w:space="720" w:num="1"/>
          <w:docGrid w:linePitch="312" w:charSpace="0"/>
        </w:sectPr>
      </w:pPr>
      <w:r>
        <w:rPr>
          <w:rFonts w:hint="eastAsia" w:ascii="仿宋" w:hAnsi="仿宋" w:eastAsia="仿宋" w:cs="仿宋"/>
          <w:kern w:val="0"/>
          <w:sz w:val="24"/>
          <w:szCs w:val="24"/>
          <w:highlight w:val="none"/>
          <w:lang w:val="en-US" w:eastAsia="zh-CN"/>
        </w:rPr>
        <w:t>投标人基本情况表。</w:t>
      </w:r>
    </w:p>
    <w:p w14:paraId="37BF5C1F">
      <w:pPr>
        <w:pStyle w:val="3"/>
        <w:shd w:val="clear"/>
        <w:rPr>
          <w:rFonts w:hint="eastAsia" w:ascii="仿宋" w:hAnsi="仿宋" w:eastAsia="仿宋" w:cs="仿宋"/>
          <w:highlight w:val="none"/>
        </w:rPr>
      </w:pPr>
      <w:bookmarkStart w:id="176" w:name="_Toc11088"/>
      <w:bookmarkStart w:id="177" w:name="_Toc1369"/>
      <w:bookmarkStart w:id="178" w:name="_Toc25988"/>
      <w:bookmarkStart w:id="179" w:name="_Toc8764"/>
      <w:bookmarkStart w:id="180" w:name="_Toc31234"/>
      <w:r>
        <w:rPr>
          <w:rFonts w:hint="eastAsia" w:ascii="仿宋" w:hAnsi="仿宋" w:eastAsia="仿宋" w:cs="仿宋"/>
          <w:highlight w:val="none"/>
        </w:rPr>
        <w:t>附件1：封面</w:t>
      </w:r>
      <w:bookmarkEnd w:id="175"/>
      <w:bookmarkEnd w:id="176"/>
      <w:bookmarkEnd w:id="177"/>
      <w:bookmarkEnd w:id="178"/>
      <w:bookmarkEnd w:id="179"/>
      <w:bookmarkEnd w:id="180"/>
    </w:p>
    <w:p w14:paraId="0A5A6226">
      <w:pPr>
        <w:shd w:val="clear"/>
        <w:spacing w:line="360" w:lineRule="auto"/>
        <w:rPr>
          <w:rFonts w:hint="eastAsia" w:ascii="仿宋" w:hAnsi="仿宋" w:eastAsia="仿宋" w:cs="仿宋"/>
          <w:b/>
          <w:sz w:val="28"/>
          <w:szCs w:val="28"/>
          <w:highlight w:val="none"/>
        </w:rPr>
      </w:pPr>
    </w:p>
    <w:p w14:paraId="37811787">
      <w:pPr>
        <w:shd w:val="clear"/>
        <w:spacing w:line="360" w:lineRule="auto"/>
        <w:rPr>
          <w:rFonts w:hint="eastAsia" w:ascii="仿宋" w:hAnsi="仿宋" w:eastAsia="仿宋" w:cs="仿宋"/>
          <w:b/>
          <w:sz w:val="28"/>
          <w:szCs w:val="28"/>
          <w:highlight w:val="none"/>
        </w:rPr>
      </w:pPr>
      <w:r>
        <w:rPr>
          <w:rFonts w:hint="eastAsia" w:ascii="仿宋" w:hAnsi="仿宋" w:eastAsia="仿宋" w:cs="仿宋"/>
          <w:b/>
          <w:sz w:val="28"/>
          <w:szCs w:val="28"/>
          <w:highlight w:val="none"/>
        </w:rPr>
        <w:t>致：成都三博东篱医院有限公司　　　　　　　　　</w:t>
      </w:r>
      <w:r>
        <w:rPr>
          <w:rFonts w:hint="eastAsia" w:ascii="仿宋" w:hAnsi="仿宋" w:eastAsia="仿宋" w:cs="仿宋"/>
          <w:b/>
          <w:color w:val="FF0000"/>
          <w:sz w:val="28"/>
          <w:szCs w:val="28"/>
          <w:highlight w:val="none"/>
          <w:u w:val="single"/>
        </w:rPr>
        <w:t>正本</w:t>
      </w:r>
      <w:r>
        <w:rPr>
          <w:rFonts w:hint="eastAsia" w:ascii="仿宋" w:hAnsi="仿宋" w:eastAsia="仿宋" w:cs="仿宋"/>
          <w:b/>
          <w:sz w:val="28"/>
          <w:szCs w:val="28"/>
          <w:highlight w:val="none"/>
          <w:u w:val="single"/>
        </w:rPr>
        <w:t>/副本</w:t>
      </w:r>
    </w:p>
    <w:p w14:paraId="32BA34FC">
      <w:pPr>
        <w:shd w:val="clear"/>
        <w:spacing w:line="360" w:lineRule="auto"/>
        <w:jc w:val="center"/>
        <w:rPr>
          <w:rFonts w:hint="eastAsia" w:ascii="仿宋" w:hAnsi="仿宋" w:eastAsia="仿宋" w:cs="仿宋"/>
          <w:sz w:val="84"/>
          <w:szCs w:val="84"/>
          <w:highlight w:val="none"/>
        </w:rPr>
      </w:pPr>
    </w:p>
    <w:p w14:paraId="015D6F29">
      <w:pPr>
        <w:shd w:val="clear"/>
        <w:spacing w:line="360" w:lineRule="auto"/>
        <w:jc w:val="center"/>
        <w:rPr>
          <w:rFonts w:hint="eastAsia" w:ascii="仿宋" w:hAnsi="仿宋" w:eastAsia="仿宋" w:cs="仿宋"/>
          <w:sz w:val="84"/>
          <w:szCs w:val="84"/>
          <w:highlight w:val="none"/>
        </w:rPr>
      </w:pPr>
      <w:r>
        <w:rPr>
          <w:rFonts w:hint="eastAsia" w:ascii="仿宋" w:hAnsi="仿宋" w:eastAsia="仿宋" w:cs="仿宋"/>
          <w:sz w:val="84"/>
          <w:szCs w:val="84"/>
          <w:highlight w:val="none"/>
          <w:lang w:val="en-US" w:eastAsia="zh-CN"/>
        </w:rPr>
        <w:t>投标</w:t>
      </w:r>
      <w:r>
        <w:rPr>
          <w:rFonts w:hint="eastAsia" w:ascii="仿宋" w:hAnsi="仿宋" w:eastAsia="仿宋" w:cs="仿宋"/>
          <w:sz w:val="84"/>
          <w:szCs w:val="84"/>
          <w:highlight w:val="none"/>
        </w:rPr>
        <w:t>文件</w:t>
      </w:r>
    </w:p>
    <w:p w14:paraId="1A5CB0D4">
      <w:pPr>
        <w:shd w:val="clear"/>
        <w:spacing w:line="360" w:lineRule="auto"/>
        <w:jc w:val="center"/>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资质/商务/技术/售后文件</w:t>
      </w:r>
      <w:r>
        <w:rPr>
          <w:rFonts w:hint="eastAsia" w:ascii="仿宋" w:hAnsi="仿宋" w:eastAsia="仿宋" w:cs="仿宋"/>
          <w:sz w:val="32"/>
          <w:szCs w:val="32"/>
          <w:highlight w:val="none"/>
          <w:lang w:eastAsia="zh-CN"/>
        </w:rPr>
        <w:t>）</w:t>
      </w:r>
    </w:p>
    <w:p w14:paraId="199A40C5">
      <w:pPr>
        <w:shd w:val="clear"/>
        <w:spacing w:line="360" w:lineRule="auto"/>
        <w:ind w:firstLine="1878" w:firstLineChars="587"/>
        <w:rPr>
          <w:rFonts w:hint="eastAsia" w:ascii="仿宋" w:hAnsi="仿宋" w:eastAsia="仿宋" w:cs="仿宋"/>
          <w:sz w:val="32"/>
          <w:szCs w:val="32"/>
          <w:highlight w:val="none"/>
        </w:rPr>
      </w:pPr>
    </w:p>
    <w:p w14:paraId="3D111284">
      <w:pPr>
        <w:shd w:val="clear"/>
        <w:spacing w:line="360" w:lineRule="auto"/>
        <w:ind w:firstLine="1878" w:firstLineChars="587"/>
        <w:rPr>
          <w:rFonts w:hint="eastAsia" w:ascii="仿宋" w:hAnsi="仿宋" w:eastAsia="仿宋" w:cs="仿宋"/>
          <w:sz w:val="32"/>
          <w:szCs w:val="32"/>
          <w:highlight w:val="none"/>
        </w:rPr>
      </w:pPr>
    </w:p>
    <w:p w14:paraId="71342E2A">
      <w:pPr>
        <w:shd w:val="clear"/>
        <w:spacing w:line="360" w:lineRule="auto"/>
        <w:ind w:firstLine="1878" w:firstLineChars="587"/>
        <w:rPr>
          <w:rFonts w:hint="eastAsia" w:ascii="仿宋" w:hAnsi="仿宋" w:eastAsia="仿宋" w:cs="仿宋"/>
          <w:sz w:val="32"/>
          <w:szCs w:val="32"/>
          <w:highlight w:val="none"/>
        </w:rPr>
      </w:pPr>
    </w:p>
    <w:p w14:paraId="2E34B9FE">
      <w:pPr>
        <w:shd w:val="clear"/>
        <w:spacing w:line="360" w:lineRule="auto"/>
        <w:ind w:firstLine="1878" w:firstLineChars="587"/>
        <w:rPr>
          <w:rFonts w:hint="eastAsia" w:ascii="仿宋" w:hAnsi="仿宋" w:eastAsia="仿宋" w:cs="仿宋"/>
          <w:sz w:val="32"/>
          <w:szCs w:val="32"/>
          <w:highlight w:val="none"/>
        </w:rPr>
      </w:pPr>
    </w:p>
    <w:p w14:paraId="2AC0D70B">
      <w:pPr>
        <w:shd w:val="clear"/>
        <w:spacing w:line="360" w:lineRule="auto"/>
        <w:ind w:firstLine="1878" w:firstLineChars="587"/>
        <w:rPr>
          <w:rFonts w:hint="eastAsia" w:ascii="仿宋" w:hAnsi="仿宋" w:eastAsia="仿宋" w:cs="仿宋"/>
          <w:sz w:val="32"/>
          <w:szCs w:val="32"/>
          <w:highlight w:val="none"/>
        </w:rPr>
      </w:pPr>
    </w:p>
    <w:p w14:paraId="1C1245D7">
      <w:pPr>
        <w:shd w:val="clear"/>
        <w:spacing w:line="360" w:lineRule="auto"/>
        <w:ind w:firstLine="1878" w:firstLineChars="587"/>
        <w:rPr>
          <w:rFonts w:hint="eastAsia" w:ascii="仿宋" w:hAnsi="仿宋" w:eastAsia="仿宋" w:cs="仿宋"/>
          <w:sz w:val="32"/>
          <w:szCs w:val="32"/>
          <w:highlight w:val="none"/>
        </w:rPr>
      </w:pPr>
    </w:p>
    <w:p w14:paraId="432C71EB">
      <w:pPr>
        <w:shd w:val="clear"/>
        <w:spacing w:line="360" w:lineRule="auto"/>
        <w:ind w:firstLine="1878" w:firstLineChars="587"/>
        <w:rPr>
          <w:rFonts w:hint="eastAsia" w:ascii="仿宋" w:hAnsi="仿宋" w:eastAsia="仿宋" w:cs="仿宋"/>
          <w:sz w:val="32"/>
          <w:szCs w:val="32"/>
          <w:highlight w:val="none"/>
        </w:rPr>
      </w:pPr>
    </w:p>
    <w:p w14:paraId="06750CDB">
      <w:pPr>
        <w:shd w:val="clear"/>
        <w:spacing w:line="360" w:lineRule="auto"/>
        <w:ind w:firstLine="1878" w:firstLineChars="587"/>
        <w:rPr>
          <w:rFonts w:hint="eastAsia" w:ascii="仿宋" w:hAnsi="仿宋" w:eastAsia="仿宋" w:cs="仿宋"/>
          <w:sz w:val="32"/>
          <w:szCs w:val="32"/>
          <w:highlight w:val="none"/>
        </w:rPr>
      </w:pPr>
    </w:p>
    <w:p w14:paraId="59411738">
      <w:pPr>
        <w:shd w:val="clear"/>
        <w:spacing w:line="360" w:lineRule="auto"/>
        <w:ind w:firstLine="1878" w:firstLineChars="587"/>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项目编号：</w:t>
      </w:r>
      <w:r>
        <w:rPr>
          <w:rFonts w:hint="eastAsia" w:ascii="仿宋" w:hAnsi="仿宋" w:eastAsia="仿宋" w:cs="仿宋"/>
          <w:spacing w:val="20"/>
          <w:sz w:val="32"/>
          <w:szCs w:val="32"/>
          <w:highlight w:val="none"/>
          <w:lang w:eastAsia="zh-CN"/>
        </w:rPr>
        <w:t>cddl-xxb-2026-031</w:t>
      </w:r>
    </w:p>
    <w:p w14:paraId="3BB9C138">
      <w:pPr>
        <w:pStyle w:val="18"/>
        <w:shd w:val="clear"/>
        <w:ind w:left="0" w:leftChars="0" w:firstLine="1920" w:firstLineChars="600"/>
        <w:rPr>
          <w:rFonts w:hint="eastAsia" w:ascii="仿宋" w:hAnsi="仿宋" w:eastAsia="仿宋" w:cs="仿宋"/>
          <w:color w:val="000000"/>
          <w:highlight w:val="none"/>
          <w:shd w:val="clear" w:color="auto" w:fill="FFFFFF"/>
          <w:lang w:eastAsia="zh-CN"/>
        </w:rPr>
      </w:pPr>
      <w:r>
        <w:rPr>
          <w:rFonts w:hint="eastAsia" w:ascii="仿宋" w:hAnsi="仿宋" w:eastAsia="仿宋" w:cs="仿宋"/>
          <w:sz w:val="32"/>
          <w:szCs w:val="32"/>
          <w:highlight w:val="none"/>
        </w:rPr>
        <w:t>项目名称：</w:t>
      </w:r>
      <w:r>
        <w:rPr>
          <w:rFonts w:hint="eastAsia" w:ascii="仿宋" w:hAnsi="仿宋" w:eastAsia="仿宋" w:cs="仿宋"/>
          <w:b/>
          <w:highlight w:val="none"/>
          <w:lang w:eastAsia="zh-CN"/>
        </w:rPr>
        <w:t>成都三博东篱医院医保智能审核和DRG精细化管理系统建设项目</w:t>
      </w:r>
    </w:p>
    <w:p w14:paraId="65F4F3E1">
      <w:pPr>
        <w:shd w:val="clear"/>
        <w:spacing w:line="360" w:lineRule="auto"/>
        <w:ind w:firstLine="4200" w:firstLineChars="1500"/>
        <w:jc w:val="right"/>
        <w:rPr>
          <w:rFonts w:hint="eastAsia" w:ascii="仿宋" w:hAnsi="仿宋" w:eastAsia="仿宋" w:cs="仿宋"/>
          <w:sz w:val="28"/>
          <w:szCs w:val="28"/>
          <w:highlight w:val="none"/>
        </w:rPr>
      </w:pPr>
    </w:p>
    <w:p w14:paraId="52C4E476">
      <w:pPr>
        <w:shd w:val="clear"/>
        <w:spacing w:line="360" w:lineRule="auto"/>
        <w:ind w:firstLine="4200" w:firstLineChars="1500"/>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报价供应商全称（</w:t>
      </w:r>
      <w:r>
        <w:rPr>
          <w:rFonts w:hint="eastAsia" w:ascii="仿宋" w:hAnsi="仿宋" w:eastAsia="仿宋" w:cs="仿宋"/>
          <w:color w:val="FF0000"/>
          <w:sz w:val="24"/>
          <w:highlight w:val="none"/>
          <w:shd w:val="clear" w:color="auto" w:fill="FFFFFF"/>
        </w:rPr>
        <w:t>加盖公章</w:t>
      </w:r>
      <w:r>
        <w:rPr>
          <w:rFonts w:hint="eastAsia" w:ascii="仿宋" w:hAnsi="仿宋" w:eastAsia="仿宋" w:cs="仿宋"/>
          <w:sz w:val="28"/>
          <w:szCs w:val="28"/>
          <w:highlight w:val="none"/>
        </w:rPr>
        <w:t>）</w:t>
      </w:r>
    </w:p>
    <w:p w14:paraId="0E80566F">
      <w:pPr>
        <w:pStyle w:val="18"/>
        <w:shd w:val="clear"/>
        <w:ind w:left="0" w:leftChars="0" w:firstLine="5600" w:firstLineChars="2000"/>
        <w:rPr>
          <w:rFonts w:hint="eastAsia" w:ascii="仿宋" w:hAnsi="仿宋" w:eastAsia="仿宋" w:cs="仿宋"/>
          <w:highlight w:val="none"/>
        </w:rPr>
      </w:pPr>
      <w:r>
        <w:rPr>
          <w:rFonts w:hint="eastAsia" w:ascii="仿宋" w:hAnsi="仿宋" w:eastAsia="仿宋" w:cs="仿宋"/>
          <w:highlight w:val="none"/>
        </w:rPr>
        <w:t>年</w:t>
      </w:r>
      <w:r>
        <w:rPr>
          <w:rFonts w:hint="eastAsia" w:ascii="仿宋" w:hAnsi="仿宋" w:eastAsia="仿宋" w:cs="仿宋"/>
          <w:highlight w:val="none"/>
          <w:lang w:val="en-US" w:eastAsia="zh-CN"/>
        </w:rPr>
        <w:t xml:space="preserve">    </w:t>
      </w:r>
      <w:r>
        <w:rPr>
          <w:rFonts w:hint="eastAsia" w:ascii="仿宋" w:hAnsi="仿宋" w:eastAsia="仿宋" w:cs="仿宋"/>
          <w:highlight w:val="none"/>
        </w:rPr>
        <w:t>月</w:t>
      </w:r>
      <w:r>
        <w:rPr>
          <w:rFonts w:hint="eastAsia" w:ascii="仿宋" w:hAnsi="仿宋" w:eastAsia="仿宋" w:cs="仿宋"/>
          <w:highlight w:val="none"/>
          <w:lang w:val="en-US" w:eastAsia="zh-CN"/>
        </w:rPr>
        <w:t xml:space="preserve">  </w:t>
      </w:r>
      <w:r>
        <w:rPr>
          <w:rFonts w:hint="eastAsia" w:ascii="仿宋" w:hAnsi="仿宋" w:eastAsia="仿宋" w:cs="仿宋"/>
          <w:highlight w:val="none"/>
        </w:rPr>
        <w:t>日</w:t>
      </w:r>
    </w:p>
    <w:p w14:paraId="730BFFDB">
      <w:pPr>
        <w:shd w:val="clear"/>
        <w:rPr>
          <w:rFonts w:hint="eastAsia" w:ascii="仿宋" w:hAnsi="仿宋" w:eastAsia="仿宋" w:cs="仿宋"/>
          <w:highlight w:val="none"/>
        </w:rPr>
      </w:pPr>
      <w:r>
        <w:rPr>
          <w:rFonts w:hint="eastAsia" w:ascii="仿宋" w:hAnsi="仿宋" w:eastAsia="仿宋" w:cs="仿宋"/>
          <w:sz w:val="28"/>
          <w:szCs w:val="28"/>
          <w:highlight w:val="none"/>
        </w:rPr>
        <w:br w:type="page"/>
      </w:r>
      <w:bookmarkStart w:id="181" w:name="_Toc15121"/>
    </w:p>
    <w:p w14:paraId="599DD820">
      <w:pPr>
        <w:pStyle w:val="3"/>
        <w:shd w:val="clear"/>
        <w:rPr>
          <w:rFonts w:hint="eastAsia" w:ascii="仿宋" w:hAnsi="仿宋" w:eastAsia="仿宋" w:cs="仿宋"/>
          <w:highlight w:val="none"/>
        </w:rPr>
      </w:pPr>
      <w:bookmarkStart w:id="182" w:name="_Toc1312"/>
      <w:bookmarkStart w:id="183" w:name="_Toc6251"/>
      <w:bookmarkStart w:id="184" w:name="_Toc2811"/>
      <w:bookmarkStart w:id="185" w:name="_Toc10195"/>
      <w:bookmarkStart w:id="186" w:name="_Toc3387"/>
      <w:r>
        <w:rPr>
          <w:rFonts w:hint="eastAsia" w:ascii="仿宋" w:hAnsi="仿宋" w:eastAsia="仿宋" w:cs="仿宋"/>
          <w:highlight w:val="none"/>
        </w:rPr>
        <w:t>附件</w:t>
      </w:r>
      <w:r>
        <w:rPr>
          <w:rFonts w:hint="eastAsia" w:ascii="仿宋" w:hAnsi="仿宋" w:eastAsia="仿宋" w:cs="仿宋"/>
          <w:highlight w:val="none"/>
          <w:lang w:val="en-US" w:eastAsia="zh-CN"/>
        </w:rPr>
        <w:t>2</w:t>
      </w:r>
      <w:r>
        <w:rPr>
          <w:rFonts w:hint="eastAsia" w:ascii="仿宋" w:hAnsi="仿宋" w:eastAsia="仿宋" w:cs="仿宋"/>
          <w:highlight w:val="none"/>
        </w:rPr>
        <w:t>、招标文件答疑确认函</w:t>
      </w:r>
      <w:bookmarkEnd w:id="182"/>
      <w:bookmarkEnd w:id="183"/>
      <w:bookmarkEnd w:id="184"/>
      <w:bookmarkEnd w:id="185"/>
      <w:bookmarkEnd w:id="186"/>
    </w:p>
    <w:p w14:paraId="501E617C">
      <w:pPr>
        <w:shd w:val="clear"/>
        <w:spacing w:line="360" w:lineRule="auto"/>
        <w:jc w:val="center"/>
        <w:rPr>
          <w:rFonts w:hint="eastAsia" w:ascii="仿宋" w:hAnsi="仿宋" w:eastAsia="仿宋" w:cs="仿宋"/>
          <w:sz w:val="28"/>
          <w:szCs w:val="28"/>
          <w:highlight w:val="none"/>
          <w:u w:val="none"/>
        </w:rPr>
      </w:pPr>
      <w:r>
        <w:rPr>
          <w:rFonts w:hint="eastAsia" w:ascii="仿宋" w:hAnsi="仿宋" w:eastAsia="仿宋" w:cs="仿宋"/>
          <w:sz w:val="28"/>
          <w:szCs w:val="28"/>
          <w:highlight w:val="none"/>
          <w:u w:val="none"/>
          <w:shd w:val="clear" w:color="auto" w:fill="FFFFFF"/>
          <w:lang w:eastAsia="zh-CN"/>
        </w:rPr>
        <w:t>《</w:t>
      </w:r>
      <w:r>
        <w:rPr>
          <w:rFonts w:hint="eastAsia" w:ascii="仿宋" w:hAnsi="仿宋" w:eastAsia="仿宋" w:cs="仿宋"/>
          <w:sz w:val="28"/>
          <w:szCs w:val="28"/>
          <w:highlight w:val="none"/>
          <w:u w:val="none"/>
          <w:shd w:val="clear" w:color="auto" w:fill="FFFFFF"/>
        </w:rPr>
        <w:t>招标文件答疑确认函</w:t>
      </w:r>
      <w:r>
        <w:rPr>
          <w:rFonts w:hint="eastAsia" w:ascii="仿宋" w:hAnsi="仿宋" w:eastAsia="仿宋" w:cs="仿宋"/>
          <w:sz w:val="28"/>
          <w:szCs w:val="28"/>
          <w:highlight w:val="none"/>
          <w:u w:val="none"/>
          <w:shd w:val="clear" w:color="auto" w:fill="FFFFFF"/>
          <w:lang w:eastAsia="zh-CN"/>
        </w:rPr>
        <w:t>》</w:t>
      </w:r>
    </w:p>
    <w:p w14:paraId="6EE94CA1">
      <w:pPr>
        <w:shd w:val="clear"/>
        <w:spacing w:line="360" w:lineRule="auto"/>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致：成都三博东篱医院有限公司</w:t>
      </w:r>
    </w:p>
    <w:p w14:paraId="671F8B3F">
      <w:pPr>
        <w:shd w:val="clear"/>
        <w:spacing w:line="360" w:lineRule="auto"/>
        <w:ind w:firstLine="480"/>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我方[投标单位全称]，统一社会信用代码：[投标单位统一社会信用代码]，系</w:t>
      </w:r>
      <w:r>
        <w:rPr>
          <w:rFonts w:hint="eastAsia" w:ascii="仿宋" w:hAnsi="仿宋" w:eastAsia="仿宋" w:cs="仿宋"/>
          <w:sz w:val="28"/>
          <w:szCs w:val="28"/>
          <w:highlight w:val="none"/>
          <w:u w:val="none"/>
          <w:shd w:val="clear" w:color="auto" w:fill="FFFFFF"/>
          <w:lang w:eastAsia="zh-CN"/>
        </w:rPr>
        <w:t>医保智能审核和DRG精细化管理系统建设项目</w:t>
      </w:r>
      <w:r>
        <w:rPr>
          <w:rFonts w:hint="eastAsia" w:ascii="仿宋" w:hAnsi="仿宋" w:eastAsia="仿宋" w:cs="仿宋"/>
          <w:sz w:val="28"/>
          <w:szCs w:val="28"/>
          <w:highlight w:val="none"/>
          <w:u w:val="none"/>
          <w:shd w:val="clear" w:color="auto" w:fill="FFFFFF"/>
        </w:rPr>
        <w:t>（招标编号：</w:t>
      </w:r>
      <w:r>
        <w:rPr>
          <w:rFonts w:hint="eastAsia" w:ascii="仿宋" w:hAnsi="仿宋" w:eastAsia="仿宋" w:cs="仿宋"/>
          <w:sz w:val="28"/>
          <w:szCs w:val="28"/>
          <w:highlight w:val="none"/>
          <w:u w:val="none"/>
          <w:shd w:val="clear" w:color="auto" w:fill="FFFFFF"/>
          <w:lang w:eastAsia="zh-CN"/>
        </w:rPr>
        <w:t>cddl-xxb-2026-031</w:t>
      </w:r>
      <w:r>
        <w:rPr>
          <w:rFonts w:hint="eastAsia" w:ascii="仿宋" w:hAnsi="仿宋" w:eastAsia="仿宋" w:cs="仿宋"/>
          <w:sz w:val="28"/>
          <w:szCs w:val="28"/>
          <w:highlight w:val="none"/>
          <w:u w:val="none"/>
          <w:shd w:val="clear" w:color="auto" w:fill="FFFFFF"/>
        </w:rPr>
        <w:t>）的潜在投标人/投标人。</w:t>
      </w:r>
    </w:p>
    <w:p w14:paraId="291CFC0E">
      <w:pPr>
        <w:shd w:val="clear"/>
        <w:spacing w:line="360" w:lineRule="auto"/>
        <w:ind w:firstLine="480"/>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我方已收到贵单位就本项目招标文件发布的全部澄清、答疑文件（答疑编号：[</w:t>
      </w:r>
      <w:r>
        <w:rPr>
          <w:rFonts w:hint="eastAsia" w:ascii="仿宋" w:hAnsi="仿宋" w:eastAsia="仿宋" w:cs="仿宋"/>
          <w:sz w:val="28"/>
          <w:szCs w:val="28"/>
          <w:highlight w:val="none"/>
          <w:u w:val="none"/>
          <w:shd w:val="clear" w:color="auto" w:fill="FFFFFF"/>
          <w:lang w:val="en-US" w:eastAsia="zh-CN"/>
        </w:rPr>
        <w:t>标书最新版本号</w:t>
      </w:r>
      <w:r>
        <w:rPr>
          <w:rFonts w:hint="eastAsia" w:ascii="仿宋" w:hAnsi="仿宋" w:eastAsia="仿宋" w:cs="仿宋"/>
          <w:sz w:val="28"/>
          <w:szCs w:val="28"/>
          <w:highlight w:val="none"/>
          <w:u w:val="none"/>
          <w:shd w:val="clear" w:color="auto" w:fill="FFFFFF"/>
        </w:rPr>
        <w:t>]，发布日期：[发布日期]），并已仔细、全面阅读该澄清、答疑文件的全部内容，充分理解其含义及对招标文件相关条款的补充、修改说明。</w:t>
      </w:r>
    </w:p>
    <w:p w14:paraId="6F2F6140">
      <w:pPr>
        <w:shd w:val="clear"/>
        <w:spacing w:line="360" w:lineRule="auto"/>
        <w:ind w:firstLine="480"/>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我方确认，对该澄清、答疑文件内容无任何疑问或异议，自愿按照澄清、答疑文件及修改后的招标文件要求参与本次投标活动，若因我方对澄清、答疑文件内容理解偏差导致的一切后果，由我方自行承担全部责任。</w:t>
      </w:r>
    </w:p>
    <w:p w14:paraId="6063BE26">
      <w:pPr>
        <w:shd w:val="clear"/>
        <w:spacing w:line="360" w:lineRule="auto"/>
        <w:ind w:firstLine="480"/>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本确认函自签署之日起生效，作为本次投标活动的重要依据。</w:t>
      </w:r>
    </w:p>
    <w:p w14:paraId="4A2B326D">
      <w:pPr>
        <w:shd w:val="clear"/>
        <w:jc w:val="right"/>
        <w:rPr>
          <w:rFonts w:hint="eastAsia" w:ascii="仿宋" w:hAnsi="仿宋" w:eastAsia="仿宋" w:cs="仿宋"/>
          <w:sz w:val="28"/>
          <w:szCs w:val="28"/>
          <w:highlight w:val="none"/>
        </w:rPr>
      </w:pPr>
    </w:p>
    <w:p w14:paraId="18EF090B">
      <w:pPr>
        <w:shd w:val="clear"/>
        <w:jc w:val="right"/>
        <w:rPr>
          <w:rFonts w:hint="eastAsia" w:ascii="仿宋" w:hAnsi="仿宋" w:eastAsia="仿宋" w:cs="仿宋"/>
          <w:sz w:val="28"/>
          <w:szCs w:val="28"/>
          <w:highlight w:val="none"/>
        </w:rPr>
      </w:pPr>
    </w:p>
    <w:p w14:paraId="152D2332">
      <w:pPr>
        <w:shd w:val="clear"/>
        <w:jc w:val="right"/>
        <w:rPr>
          <w:rFonts w:hint="eastAsia" w:ascii="仿宋" w:hAnsi="仿宋" w:eastAsia="仿宋" w:cs="仿宋"/>
          <w:sz w:val="28"/>
          <w:szCs w:val="28"/>
          <w:highlight w:val="none"/>
        </w:rPr>
      </w:pPr>
    </w:p>
    <w:p w14:paraId="29B957DB">
      <w:pPr>
        <w:shd w:val="clea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投标人名称：xxxx有限公司（加盖公章）</w:t>
      </w:r>
    </w:p>
    <w:p w14:paraId="78BF7A97">
      <w:pPr>
        <w:shd w:val="clear"/>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p>
    <w:p w14:paraId="1CA12E6C">
      <w:pPr>
        <w:shd w:val="clear"/>
        <w:wordWrap w:val="0"/>
        <w:jc w:val="righ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法定代表人或委托代理人签字：</w:t>
      </w:r>
      <w:r>
        <w:rPr>
          <w:rFonts w:hint="eastAsia" w:ascii="仿宋" w:hAnsi="仿宋" w:eastAsia="仿宋" w:cs="仿宋"/>
          <w:sz w:val="28"/>
          <w:szCs w:val="28"/>
          <w:highlight w:val="none"/>
          <w:lang w:val="en-US" w:eastAsia="zh-CN"/>
        </w:rPr>
        <w:t xml:space="preserve">        </w:t>
      </w:r>
    </w:p>
    <w:p w14:paraId="474A4D1D">
      <w:pPr>
        <w:shd w:val="clear"/>
        <w:jc w:val="righ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p>
    <w:p w14:paraId="33AD8690">
      <w:pPr>
        <w:shd w:val="clear"/>
        <w:jc w:val="right"/>
        <w:rPr>
          <w:rFonts w:hint="eastAsia" w:ascii="仿宋" w:hAnsi="仿宋" w:eastAsia="仿宋" w:cs="仿宋"/>
          <w:b/>
          <w:bCs/>
          <w:kern w:val="0"/>
          <w:sz w:val="28"/>
          <w:szCs w:val="28"/>
          <w:highlight w:val="none"/>
        </w:rPr>
      </w:pPr>
      <w:r>
        <w:rPr>
          <w:rFonts w:hint="eastAsia" w:ascii="仿宋" w:hAnsi="仿宋" w:eastAsia="仿宋" w:cs="仿宋"/>
          <w:sz w:val="28"/>
          <w:szCs w:val="28"/>
          <w:highlight w:val="none"/>
        </w:rPr>
        <w:t>签署</w:t>
      </w:r>
      <w:r>
        <w:rPr>
          <w:rFonts w:hint="eastAsia" w:ascii="仿宋" w:hAnsi="仿宋" w:eastAsia="仿宋" w:cs="仿宋"/>
          <w:sz w:val="28"/>
          <w:szCs w:val="28"/>
          <w:highlight w:val="none"/>
          <w:lang w:eastAsia="zh-CN"/>
        </w:rPr>
        <w:t xml:space="preserve">日期：      年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lang w:eastAsia="zh-CN"/>
        </w:rPr>
        <w:t xml:space="preserve"> 月</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日</w:t>
      </w:r>
    </w:p>
    <w:p w14:paraId="418CC5D4">
      <w:pPr>
        <w:pStyle w:val="18"/>
        <w:shd w:val="clear"/>
        <w:ind w:firstLine="482"/>
        <w:rPr>
          <w:rFonts w:hint="eastAsia" w:ascii="仿宋" w:hAnsi="仿宋" w:eastAsia="仿宋" w:cs="仿宋"/>
          <w:b/>
          <w:bCs/>
          <w:kern w:val="0"/>
          <w:sz w:val="28"/>
          <w:szCs w:val="28"/>
          <w:highlight w:val="none"/>
        </w:rPr>
      </w:pPr>
    </w:p>
    <w:p w14:paraId="1AFFD556">
      <w:pPr>
        <w:shd w:val="clear"/>
        <w:rPr>
          <w:rFonts w:hint="eastAsia" w:ascii="仿宋" w:hAnsi="仿宋" w:eastAsia="仿宋" w:cs="仿宋"/>
          <w:highlight w:val="none"/>
        </w:rPr>
      </w:pPr>
      <w:r>
        <w:rPr>
          <w:rFonts w:hint="eastAsia" w:ascii="仿宋" w:hAnsi="仿宋" w:eastAsia="仿宋" w:cs="仿宋"/>
          <w:highlight w:val="none"/>
        </w:rPr>
        <w:br w:type="page"/>
      </w:r>
    </w:p>
    <w:p w14:paraId="319D7672">
      <w:pPr>
        <w:pStyle w:val="3"/>
        <w:shd w:val="clear"/>
        <w:rPr>
          <w:rFonts w:hint="default" w:ascii="仿宋" w:hAnsi="仿宋" w:eastAsia="仿宋" w:cs="仿宋"/>
          <w:highlight w:val="none"/>
          <w:lang w:val="en-US" w:eastAsia="zh-CN"/>
        </w:rPr>
      </w:pPr>
      <w:bookmarkStart w:id="187" w:name="_Toc15154"/>
      <w:bookmarkStart w:id="188" w:name="_Toc31891"/>
      <w:bookmarkStart w:id="189" w:name="_Toc31140"/>
      <w:bookmarkStart w:id="190" w:name="_Toc3901"/>
      <w:bookmarkStart w:id="191" w:name="_Toc12509"/>
      <w:r>
        <w:rPr>
          <w:rFonts w:hint="eastAsia" w:ascii="仿宋" w:hAnsi="仿宋" w:eastAsia="仿宋" w:cs="仿宋"/>
          <w:highlight w:val="none"/>
        </w:rPr>
        <w:t>附件</w:t>
      </w:r>
      <w:r>
        <w:rPr>
          <w:rFonts w:hint="eastAsia" w:ascii="仿宋" w:hAnsi="仿宋" w:eastAsia="仿宋" w:cs="仿宋"/>
          <w:highlight w:val="none"/>
          <w:lang w:val="en-US" w:eastAsia="zh-CN"/>
        </w:rPr>
        <w:t>3</w:t>
      </w:r>
      <w:r>
        <w:rPr>
          <w:rFonts w:hint="eastAsia" w:ascii="仿宋" w:hAnsi="仿宋" w:eastAsia="仿宋" w:cs="仿宋"/>
          <w:highlight w:val="none"/>
        </w:rPr>
        <w:t>、投标声明函</w:t>
      </w:r>
      <w:r>
        <w:rPr>
          <w:rFonts w:hint="eastAsia" w:ascii="仿宋" w:hAnsi="仿宋" w:eastAsia="仿宋" w:cs="仿宋"/>
          <w:highlight w:val="none"/>
          <w:lang w:eastAsia="zh-CN"/>
        </w:rPr>
        <w:t>、</w:t>
      </w:r>
      <w:r>
        <w:rPr>
          <w:rFonts w:hint="eastAsia" w:ascii="仿宋" w:hAnsi="仿宋" w:eastAsia="仿宋" w:cs="仿宋"/>
          <w:highlight w:val="none"/>
        </w:rPr>
        <w:t>投标确认书</w:t>
      </w:r>
      <w:bookmarkEnd w:id="187"/>
      <w:r>
        <w:rPr>
          <w:rFonts w:hint="eastAsia" w:ascii="仿宋" w:hAnsi="仿宋" w:eastAsia="仿宋" w:cs="仿宋"/>
          <w:highlight w:val="none"/>
        </w:rPr>
        <w:t>、</w:t>
      </w:r>
      <w:r>
        <w:rPr>
          <w:rFonts w:hint="eastAsia" w:ascii="仿宋" w:hAnsi="仿宋" w:eastAsia="仿宋" w:cs="仿宋"/>
          <w:highlight w:val="none"/>
          <w:lang w:val="en-US" w:eastAsia="zh-CN"/>
        </w:rPr>
        <w:t>投标响应确认函</w:t>
      </w:r>
      <w:bookmarkEnd w:id="188"/>
      <w:bookmarkEnd w:id="189"/>
      <w:bookmarkEnd w:id="190"/>
      <w:bookmarkEnd w:id="191"/>
    </w:p>
    <w:p w14:paraId="7669A56F">
      <w:pPr>
        <w:shd w:val="clear"/>
        <w:spacing w:line="360" w:lineRule="auto"/>
        <w:jc w:val="center"/>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《投标人声明函》</w:t>
      </w:r>
    </w:p>
    <w:p w14:paraId="554093A8">
      <w:pPr>
        <w:keepNext w:val="0"/>
        <w:keepLines w:val="0"/>
        <w:pageBreakBefore w:val="0"/>
        <w:shd w:val="clear"/>
        <w:kinsoku/>
        <w:wordWrap/>
        <w:overflowPunct/>
        <w:topLinePunct w:val="0"/>
        <w:autoSpaceDE/>
        <w:bidi w:val="0"/>
        <w:adjustRightInd/>
        <w:snapToGrid/>
        <w:spacing w:before="160" w:after="160"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lang w:val="en-US" w:eastAsia="zh-CN"/>
        </w:rPr>
        <w:t>/授权委托人</w:t>
      </w:r>
      <w:r>
        <w:rPr>
          <w:rFonts w:hint="eastAsia" w:ascii="仿宋" w:hAnsi="仿宋" w:eastAsia="仿宋" w:cs="仿宋"/>
          <w:sz w:val="24"/>
          <w:szCs w:val="24"/>
          <w:highlight w:val="none"/>
        </w:rPr>
        <w:t>出席开标会时</w:t>
      </w:r>
      <w:r>
        <w:rPr>
          <w:rFonts w:hint="eastAsia" w:ascii="仿宋" w:hAnsi="仿宋" w:eastAsia="仿宋" w:cs="仿宋"/>
          <w:sz w:val="24"/>
          <w:szCs w:val="24"/>
          <w:highlight w:val="none"/>
          <w:lang w:val="en-US" w:eastAsia="zh-CN"/>
        </w:rPr>
        <w:t>在标书外需另外单独</w:t>
      </w:r>
      <w:r>
        <w:rPr>
          <w:rFonts w:hint="eastAsia" w:ascii="仿宋" w:hAnsi="仿宋" w:eastAsia="仿宋" w:cs="仿宋"/>
          <w:sz w:val="24"/>
          <w:szCs w:val="24"/>
          <w:highlight w:val="none"/>
        </w:rPr>
        <w:t>出具此证明）</w:t>
      </w:r>
    </w:p>
    <w:p w14:paraId="17AE8D4E">
      <w:pPr>
        <w:shd w:val="clear"/>
        <w:spacing w:line="360" w:lineRule="auto"/>
        <w:jc w:val="both"/>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致：成都三博东篱医院有限公司</w:t>
      </w:r>
    </w:p>
    <w:p w14:paraId="2FFA5DDB">
      <w:pPr>
        <w:shd w:val="clear"/>
        <w:spacing w:line="360" w:lineRule="auto"/>
        <w:ind w:firstLineChars="200"/>
        <w:jc w:val="both"/>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XXX有限公司（投标人名称）愿意对成都三博东篱医院</w:t>
      </w:r>
      <w:r>
        <w:rPr>
          <w:rFonts w:hint="eastAsia" w:ascii="仿宋" w:hAnsi="仿宋" w:eastAsia="仿宋" w:cs="仿宋"/>
          <w:sz w:val="28"/>
          <w:szCs w:val="28"/>
          <w:highlight w:val="none"/>
          <w:shd w:val="clear" w:color="auto" w:fill="FFFFFF"/>
          <w:lang w:eastAsia="zh-CN"/>
        </w:rPr>
        <w:t>医保智能审核和DRG精细化管理系统建设项目</w:t>
      </w:r>
      <w:r>
        <w:rPr>
          <w:rFonts w:hint="eastAsia" w:ascii="仿宋" w:hAnsi="仿宋" w:eastAsia="仿宋" w:cs="仿宋"/>
          <w:sz w:val="28"/>
          <w:szCs w:val="28"/>
          <w:highlight w:val="none"/>
          <w:shd w:val="clear" w:color="auto" w:fill="FFFFFF"/>
        </w:rPr>
        <w:t>（邀标编号：</w:t>
      </w:r>
      <w:r>
        <w:rPr>
          <w:rFonts w:hint="eastAsia" w:ascii="仿宋" w:hAnsi="仿宋" w:eastAsia="仿宋" w:cs="仿宋"/>
          <w:sz w:val="28"/>
          <w:szCs w:val="28"/>
          <w:highlight w:val="none"/>
          <w:shd w:val="clear" w:color="auto" w:fill="FFFFFF"/>
          <w:lang w:eastAsia="zh-CN"/>
        </w:rPr>
        <w:t>cddl-xxb-2026-031</w:t>
      </w:r>
      <w:r>
        <w:rPr>
          <w:rFonts w:hint="eastAsia" w:ascii="仿宋" w:hAnsi="仿宋" w:eastAsia="仿宋" w:cs="仿宋"/>
          <w:sz w:val="28"/>
          <w:szCs w:val="28"/>
          <w:highlight w:val="none"/>
          <w:shd w:val="clear" w:color="auto" w:fill="FFFFFF"/>
        </w:rPr>
        <w:t>）进行投标。并在此声明，投标文件中所有关于投标人资格的文件材料、证明、陈述真实、准确。如有不符因此而产生的一切后果由我方承担。</w:t>
      </w:r>
    </w:p>
    <w:p w14:paraId="511937A9">
      <w:pPr>
        <w:numPr>
          <w:ilvl w:val="0"/>
          <w:numId w:val="34"/>
        </w:numPr>
        <w:shd w:val="clear"/>
        <w:spacing w:line="360" w:lineRule="auto"/>
        <w:ind w:left="425" w:hanging="425" w:firstLineChars="0"/>
        <w:jc w:val="both"/>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投标人获得本项目招标信息的渠道：</w:t>
      </w:r>
    </w:p>
    <w:p w14:paraId="3EEB7089">
      <w:pPr>
        <w:shd w:val="clear"/>
        <w:spacing w:line="360" w:lineRule="auto"/>
        <w:ind w:firstLine="480"/>
        <w:rPr>
          <w:rFonts w:hint="default" w:ascii="仿宋" w:hAnsi="仿宋" w:eastAsia="仿宋" w:cs="仿宋"/>
          <w:sz w:val="28"/>
          <w:szCs w:val="28"/>
          <w:highlight w:val="none"/>
          <w:shd w:val="clear" w:color="auto" w:fill="FFFFFF"/>
          <w:lang w:val="en-US"/>
        </w:rPr>
      </w:pPr>
      <w:r>
        <w:rPr>
          <w:rFonts w:hint="eastAsia" w:ascii="仿宋" w:hAnsi="仿宋" w:eastAsia="仿宋" w:cs="仿宋"/>
          <w:sz w:val="28"/>
          <w:szCs w:val="28"/>
          <w:highlight w:val="none"/>
          <w:shd w:val="clear" w:color="auto" w:fill="FFFFFF"/>
        </w:rPr>
        <w:sym w:font="Wingdings" w:char="00A8"/>
      </w:r>
      <w:r>
        <w:rPr>
          <w:rFonts w:hint="eastAsia" w:ascii="仿宋" w:hAnsi="仿宋" w:eastAsia="仿宋" w:cs="仿宋"/>
          <w:sz w:val="28"/>
          <w:szCs w:val="28"/>
          <w:highlight w:val="none"/>
          <w:shd w:val="clear" w:color="auto" w:fill="FFFFFF"/>
          <w:lang w:val="en-US" w:eastAsia="zh-CN"/>
        </w:rPr>
        <w:t xml:space="preserve">内部邀请     </w:t>
      </w:r>
      <w:r>
        <w:rPr>
          <w:rFonts w:hint="eastAsia" w:ascii="仿宋" w:hAnsi="仿宋" w:eastAsia="仿宋" w:cs="仿宋"/>
          <w:sz w:val="28"/>
          <w:szCs w:val="28"/>
          <w:highlight w:val="none"/>
          <w:shd w:val="clear" w:color="auto" w:fill="FFFFFF"/>
        </w:rPr>
        <w:sym w:font="Wingdings" w:char="00A8"/>
      </w:r>
      <w:r>
        <w:rPr>
          <w:rFonts w:hint="eastAsia" w:ascii="仿宋" w:hAnsi="仿宋" w:eastAsia="仿宋" w:cs="仿宋"/>
          <w:sz w:val="28"/>
          <w:szCs w:val="28"/>
          <w:highlight w:val="none"/>
          <w:shd w:val="clear" w:color="auto" w:fill="FFFFFF"/>
          <w:lang w:val="en-US" w:eastAsia="zh-CN"/>
        </w:rPr>
        <w:t xml:space="preserve">官网公示     </w:t>
      </w:r>
      <w:r>
        <w:rPr>
          <w:rFonts w:hint="eastAsia" w:ascii="仿宋" w:hAnsi="仿宋" w:eastAsia="仿宋" w:cs="仿宋"/>
          <w:sz w:val="28"/>
          <w:szCs w:val="28"/>
          <w:highlight w:val="none"/>
          <w:shd w:val="clear" w:color="auto" w:fill="FFFFFF"/>
        </w:rPr>
        <w:sym w:font="Wingdings" w:char="00A8"/>
      </w:r>
      <w:r>
        <w:rPr>
          <w:rFonts w:hint="eastAsia" w:ascii="仿宋" w:hAnsi="仿宋" w:eastAsia="仿宋" w:cs="仿宋"/>
          <w:sz w:val="28"/>
          <w:szCs w:val="28"/>
          <w:highlight w:val="none"/>
          <w:shd w:val="clear" w:color="auto" w:fill="FFFFFF"/>
          <w:lang w:val="en-US" w:eastAsia="zh-CN"/>
        </w:rPr>
        <w:t>其他</w:t>
      </w:r>
      <w:r>
        <w:rPr>
          <w:rFonts w:hint="eastAsia" w:ascii="仿宋" w:hAnsi="仿宋" w:eastAsia="仿宋" w:cs="仿宋"/>
          <w:sz w:val="28"/>
          <w:szCs w:val="28"/>
          <w:highlight w:val="none"/>
          <w:u w:val="single"/>
          <w:shd w:val="clear" w:color="auto" w:fill="FFFFFF"/>
          <w:lang w:val="en-US" w:eastAsia="zh-CN"/>
        </w:rPr>
        <w:t xml:space="preserve">               </w:t>
      </w:r>
    </w:p>
    <w:p w14:paraId="4DB38FBB">
      <w:pPr>
        <w:numPr>
          <w:ilvl w:val="0"/>
          <w:numId w:val="34"/>
        </w:numPr>
        <w:shd w:val="clear"/>
        <w:spacing w:line="360" w:lineRule="auto"/>
        <w:ind w:left="425" w:hanging="425"/>
        <w:jc w:val="both"/>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投标人与招标人间是否存在关联关系，以及与其工作人员是否存在如下关系如：亲属、同事、同学、战友等。</w:t>
      </w:r>
    </w:p>
    <w:p w14:paraId="2A2C393C">
      <w:pPr>
        <w:shd w:val="clear"/>
        <w:spacing w:line="360" w:lineRule="auto"/>
        <w:ind w:firstLine="420" w:firstLineChars="15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是</w:t>
      </w:r>
      <w:r>
        <w:rPr>
          <w:rFonts w:hint="eastAsia" w:ascii="仿宋" w:hAnsi="仿宋" w:eastAsia="仿宋" w:cs="仿宋"/>
          <w:sz w:val="28"/>
          <w:szCs w:val="28"/>
          <w:highlight w:val="none"/>
          <w:shd w:val="clear" w:color="auto" w:fill="FFFFFF"/>
        </w:rPr>
        <w:sym w:font="Wingdings" w:char="00A8"/>
      </w:r>
    </w:p>
    <w:p w14:paraId="3A92459F">
      <w:pPr>
        <w:shd w:val="clear"/>
        <w:spacing w:line="360" w:lineRule="auto"/>
        <w:ind w:firstLine="420" w:firstLineChars="150"/>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否</w:t>
      </w:r>
      <w:r>
        <w:rPr>
          <w:rFonts w:hint="eastAsia" w:ascii="仿宋" w:hAnsi="仿宋" w:eastAsia="仿宋" w:cs="仿宋"/>
          <w:sz w:val="28"/>
          <w:szCs w:val="28"/>
          <w:highlight w:val="none"/>
          <w:shd w:val="clear" w:color="auto" w:fill="FFFFFF"/>
        </w:rPr>
        <w:sym w:font="Wingdings" w:char="00A8"/>
      </w:r>
    </w:p>
    <w:p w14:paraId="15F24FC4">
      <w:pPr>
        <w:shd w:val="clear"/>
        <w:spacing w:line="360" w:lineRule="auto"/>
        <w:jc w:val="both"/>
        <w:rPr>
          <w:rFonts w:hint="eastAsia"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特此声明！</w:t>
      </w:r>
    </w:p>
    <w:p w14:paraId="6AC121B1">
      <w:pPr>
        <w:shd w:val="clear"/>
        <w:spacing w:line="360" w:lineRule="auto"/>
        <w:jc w:val="both"/>
        <w:rPr>
          <w:rFonts w:hint="eastAsia" w:ascii="仿宋" w:hAnsi="仿宋" w:eastAsia="仿宋" w:cs="仿宋"/>
          <w:sz w:val="28"/>
          <w:szCs w:val="28"/>
          <w:highlight w:val="none"/>
          <w:shd w:val="clear" w:color="auto" w:fill="FFFFFF"/>
        </w:rPr>
      </w:pPr>
    </w:p>
    <w:p w14:paraId="33F6165E">
      <w:pPr>
        <w:shd w:val="clea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投标人名称：xxxx有限公司（加盖公章）</w:t>
      </w:r>
    </w:p>
    <w:p w14:paraId="172770D0">
      <w:pPr>
        <w:shd w:val="clear"/>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p>
    <w:p w14:paraId="34859C68">
      <w:pPr>
        <w:shd w:val="clear"/>
        <w:wordWrap w:val="0"/>
        <w:jc w:val="righ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法定代表人或委托代理人签字：</w:t>
      </w:r>
      <w:r>
        <w:rPr>
          <w:rFonts w:hint="eastAsia" w:ascii="仿宋" w:hAnsi="仿宋" w:eastAsia="仿宋" w:cs="仿宋"/>
          <w:sz w:val="28"/>
          <w:szCs w:val="28"/>
          <w:highlight w:val="none"/>
          <w:lang w:val="en-US" w:eastAsia="zh-CN"/>
        </w:rPr>
        <w:t xml:space="preserve">        </w:t>
      </w:r>
    </w:p>
    <w:p w14:paraId="6BEE27AF">
      <w:pPr>
        <w:shd w:val="clear"/>
        <w:jc w:val="righ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p>
    <w:p w14:paraId="1921A555">
      <w:pPr>
        <w:shd w:val="clear"/>
        <w:jc w:val="right"/>
        <w:rPr>
          <w:rFonts w:hint="eastAsia" w:ascii="仿宋" w:hAnsi="仿宋" w:eastAsia="仿宋" w:cs="仿宋"/>
          <w:b/>
          <w:bCs/>
          <w:kern w:val="0"/>
          <w:sz w:val="28"/>
          <w:szCs w:val="28"/>
          <w:highlight w:val="none"/>
        </w:rPr>
      </w:pPr>
      <w:r>
        <w:rPr>
          <w:rFonts w:hint="eastAsia" w:ascii="仿宋" w:hAnsi="仿宋" w:eastAsia="仿宋" w:cs="仿宋"/>
          <w:sz w:val="28"/>
          <w:szCs w:val="28"/>
          <w:highlight w:val="none"/>
        </w:rPr>
        <w:t>签署</w:t>
      </w:r>
      <w:r>
        <w:rPr>
          <w:rFonts w:hint="eastAsia" w:ascii="仿宋" w:hAnsi="仿宋" w:eastAsia="仿宋" w:cs="仿宋"/>
          <w:sz w:val="28"/>
          <w:szCs w:val="28"/>
          <w:highlight w:val="none"/>
          <w:lang w:eastAsia="zh-CN"/>
        </w:rPr>
        <w:t xml:space="preserve">日期：      年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lang w:eastAsia="zh-CN"/>
        </w:rPr>
        <w:t xml:space="preserve"> 月</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日</w:t>
      </w:r>
    </w:p>
    <w:p w14:paraId="3495D328">
      <w:pPr>
        <w:shd w:val="clear"/>
        <w:spacing w:line="360" w:lineRule="auto"/>
        <w:jc w:val="both"/>
        <w:rPr>
          <w:rFonts w:hint="eastAsia" w:ascii="仿宋" w:hAnsi="仿宋" w:eastAsia="仿宋" w:cs="仿宋"/>
          <w:sz w:val="28"/>
          <w:szCs w:val="28"/>
          <w:highlight w:val="none"/>
          <w:shd w:val="clear" w:color="auto" w:fill="FFFFFF"/>
          <w:lang w:eastAsia="zh-CN"/>
        </w:rPr>
      </w:pPr>
    </w:p>
    <w:p w14:paraId="2CB94E39">
      <w:pPr>
        <w:shd w:val="clear"/>
        <w:spacing w:line="360" w:lineRule="auto"/>
        <w:jc w:val="both"/>
        <w:rPr>
          <w:rFonts w:hint="eastAsia" w:ascii="仿宋" w:hAnsi="仿宋" w:eastAsia="仿宋" w:cs="仿宋"/>
          <w:sz w:val="28"/>
          <w:szCs w:val="28"/>
          <w:highlight w:val="none"/>
          <w:shd w:val="clear" w:color="auto" w:fill="FFFFFF"/>
          <w:lang w:eastAsia="zh-CN"/>
        </w:rPr>
      </w:pPr>
    </w:p>
    <w:p w14:paraId="4D026401">
      <w:pPr>
        <w:shd w:val="clear"/>
        <w:spacing w:line="240" w:lineRule="auto"/>
        <w:jc w:val="left"/>
        <w:rPr>
          <w:rFonts w:hint="eastAsia" w:ascii="仿宋" w:hAnsi="仿宋" w:eastAsia="仿宋" w:cs="仿宋"/>
          <w:sz w:val="28"/>
          <w:szCs w:val="28"/>
          <w:highlight w:val="none"/>
          <w:shd w:val="clear" w:color="auto" w:fill="FFFFFF"/>
          <w:lang w:eastAsia="zh-CN"/>
        </w:rPr>
      </w:pPr>
      <w:r>
        <w:rPr>
          <w:rFonts w:hint="eastAsia" w:ascii="仿宋" w:hAnsi="仿宋" w:eastAsia="仿宋" w:cs="仿宋"/>
          <w:sz w:val="28"/>
          <w:szCs w:val="28"/>
          <w:highlight w:val="none"/>
          <w:shd w:val="clear" w:color="auto" w:fill="FFFFFF"/>
          <w:lang w:eastAsia="zh-CN"/>
        </w:rPr>
        <w:br w:type="page"/>
      </w:r>
    </w:p>
    <w:p w14:paraId="37DCF09F">
      <w:pPr>
        <w:shd w:val="clear"/>
        <w:spacing w:line="360" w:lineRule="auto"/>
        <w:jc w:val="center"/>
        <w:rPr>
          <w:rFonts w:hint="eastAsia" w:ascii="仿宋" w:hAnsi="仿宋" w:eastAsia="仿宋" w:cs="仿宋"/>
          <w:b w:val="0"/>
          <w:bCs w:val="0"/>
          <w:sz w:val="28"/>
          <w:szCs w:val="28"/>
          <w:highlight w:val="none"/>
        </w:rPr>
      </w:pPr>
      <w:r>
        <w:rPr>
          <w:rFonts w:hint="eastAsia" w:ascii="仿宋" w:hAnsi="仿宋" w:eastAsia="仿宋" w:cs="仿宋"/>
          <w:sz w:val="28"/>
          <w:szCs w:val="28"/>
          <w:highlight w:val="none"/>
          <w:shd w:val="clear" w:color="auto" w:fill="FFFFFF"/>
          <w:lang w:eastAsia="zh-CN"/>
        </w:rPr>
        <w:t>《</w:t>
      </w:r>
      <w:r>
        <w:rPr>
          <w:rFonts w:hint="eastAsia" w:ascii="仿宋" w:hAnsi="仿宋" w:eastAsia="仿宋" w:cs="仿宋"/>
          <w:sz w:val="28"/>
          <w:szCs w:val="28"/>
          <w:highlight w:val="none"/>
          <w:shd w:val="clear" w:color="auto" w:fill="FFFFFF"/>
        </w:rPr>
        <w:t>投标确认书</w:t>
      </w:r>
      <w:r>
        <w:rPr>
          <w:rFonts w:hint="eastAsia" w:ascii="仿宋" w:hAnsi="仿宋" w:eastAsia="仿宋" w:cs="仿宋"/>
          <w:sz w:val="28"/>
          <w:szCs w:val="28"/>
          <w:highlight w:val="none"/>
          <w:shd w:val="clear" w:color="auto" w:fill="FFFFFF"/>
          <w:lang w:eastAsia="zh-CN"/>
        </w:rPr>
        <w:t>》</w:t>
      </w:r>
    </w:p>
    <w:p w14:paraId="15EAAF3B">
      <w:pPr>
        <w:shd w:val="clear"/>
        <w:spacing w:line="360" w:lineRule="auto"/>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致：成都三博东篱医院有限公司</w:t>
      </w:r>
    </w:p>
    <w:p w14:paraId="2BDC5592">
      <w:pPr>
        <w:shd w:val="clear"/>
        <w:spacing w:line="360" w:lineRule="auto"/>
        <w:ind w:firstLine="480"/>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我方[投标单位全称]，统一社会信用代码：[投标单位统一社会信用代码]，自愿参与</w:t>
      </w:r>
      <w:r>
        <w:rPr>
          <w:rFonts w:hint="eastAsia" w:ascii="仿宋" w:hAnsi="仿宋" w:eastAsia="仿宋" w:cs="仿宋"/>
          <w:sz w:val="28"/>
          <w:szCs w:val="28"/>
          <w:highlight w:val="none"/>
          <w:shd w:val="clear" w:color="auto" w:fill="FFFFFF"/>
        </w:rPr>
        <w:t>成都三博东篱医院</w:t>
      </w:r>
      <w:r>
        <w:rPr>
          <w:rFonts w:hint="eastAsia" w:ascii="仿宋" w:hAnsi="仿宋" w:eastAsia="仿宋" w:cs="仿宋"/>
          <w:sz w:val="28"/>
          <w:szCs w:val="28"/>
          <w:highlight w:val="none"/>
          <w:shd w:val="clear" w:color="auto" w:fill="FFFFFF"/>
          <w:lang w:eastAsia="zh-CN"/>
        </w:rPr>
        <w:t>医保智能审核和DRG精细化管理系统建设项目</w:t>
      </w:r>
      <w:r>
        <w:rPr>
          <w:rFonts w:hint="eastAsia" w:ascii="仿宋" w:hAnsi="仿宋" w:eastAsia="仿宋" w:cs="仿宋"/>
          <w:sz w:val="28"/>
          <w:szCs w:val="28"/>
          <w:highlight w:val="none"/>
          <w:shd w:val="clear" w:color="auto" w:fill="FFFFFF"/>
        </w:rPr>
        <w:t>（邀标编号：</w:t>
      </w:r>
      <w:r>
        <w:rPr>
          <w:rFonts w:hint="eastAsia" w:ascii="仿宋" w:hAnsi="仿宋" w:eastAsia="仿宋" w:cs="仿宋"/>
          <w:sz w:val="28"/>
          <w:szCs w:val="28"/>
          <w:highlight w:val="none"/>
          <w:shd w:val="clear" w:color="auto" w:fill="FFFFFF"/>
          <w:lang w:eastAsia="zh-CN"/>
        </w:rPr>
        <w:t>cddl-xxb-2026-031</w:t>
      </w:r>
      <w:r>
        <w:rPr>
          <w:rFonts w:hint="eastAsia" w:ascii="仿宋" w:hAnsi="仿宋" w:eastAsia="仿宋" w:cs="仿宋"/>
          <w:sz w:val="28"/>
          <w:szCs w:val="28"/>
          <w:highlight w:val="none"/>
          <w:shd w:val="clear" w:color="auto" w:fill="FFFFFF"/>
        </w:rPr>
        <w:t>）</w:t>
      </w:r>
      <w:r>
        <w:rPr>
          <w:rFonts w:hint="eastAsia" w:ascii="仿宋" w:hAnsi="仿宋" w:eastAsia="仿宋" w:cs="仿宋"/>
          <w:sz w:val="28"/>
          <w:szCs w:val="28"/>
          <w:highlight w:val="none"/>
          <w:u w:val="none"/>
          <w:shd w:val="clear" w:color="auto" w:fill="FFFFFF"/>
        </w:rPr>
        <w:t>的投标工作，并提交本次投标文件。</w:t>
      </w:r>
    </w:p>
    <w:p w14:paraId="4CE3F804">
      <w:pPr>
        <w:shd w:val="clear"/>
        <w:spacing w:line="360" w:lineRule="auto"/>
        <w:ind w:firstLine="480"/>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我方确认，对贵单位发布的本项目招标文件（含附件、补充文件、澄清答疑文件等全部相关资料）内容已全面阅读、充分理解，无任何疑问、误解或曲解，自愿接受招标文件的全部条款约束。</w:t>
      </w:r>
    </w:p>
    <w:p w14:paraId="1502BEF9">
      <w:pPr>
        <w:shd w:val="clear"/>
        <w:spacing w:line="360" w:lineRule="auto"/>
        <w:ind w:firstLine="480"/>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我方特别确认，针对本项目软件采购，我方已充分研判</w:t>
      </w:r>
      <w:r>
        <w:rPr>
          <w:rFonts w:hint="eastAsia" w:ascii="仿宋" w:hAnsi="仿宋" w:eastAsia="仿宋" w:cs="仿宋"/>
          <w:sz w:val="28"/>
          <w:szCs w:val="28"/>
          <w:highlight w:val="none"/>
          <w:u w:val="none"/>
          <w:shd w:val="clear" w:color="auto" w:fill="FFFFFF"/>
          <w:lang w:eastAsia="zh-CN"/>
        </w:rPr>
        <w:t>医保智能审核和DRG精细化管理系统</w:t>
      </w:r>
      <w:r>
        <w:rPr>
          <w:rFonts w:hint="eastAsia" w:ascii="仿宋" w:hAnsi="仿宋" w:eastAsia="仿宋" w:cs="仿宋"/>
          <w:sz w:val="28"/>
          <w:szCs w:val="28"/>
          <w:highlight w:val="none"/>
          <w:u w:val="none"/>
          <w:shd w:val="clear" w:color="auto" w:fill="FFFFFF"/>
        </w:rPr>
        <w:t>建设所需的全部软件、对接服务、实施资源，所有费用均包含在总报价中，无需贵方额外支付。</w:t>
      </w:r>
    </w:p>
    <w:p w14:paraId="330FA0A5">
      <w:pPr>
        <w:shd w:val="clear"/>
        <w:spacing w:line="360" w:lineRule="auto"/>
        <w:ind w:firstLine="480"/>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本确认书作为投标文件的组成部分，与投标文件具有同等法律效力。</w:t>
      </w:r>
    </w:p>
    <w:p w14:paraId="4BE78238">
      <w:pPr>
        <w:shd w:val="clear"/>
        <w:jc w:val="right"/>
        <w:rPr>
          <w:rFonts w:hint="eastAsia" w:ascii="仿宋" w:hAnsi="仿宋" w:eastAsia="仿宋" w:cs="仿宋"/>
          <w:sz w:val="28"/>
          <w:szCs w:val="28"/>
          <w:highlight w:val="none"/>
        </w:rPr>
      </w:pPr>
    </w:p>
    <w:p w14:paraId="3E2E4867">
      <w:pPr>
        <w:shd w:val="clea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投标人名称：xxxx有限公司（加盖公章）</w:t>
      </w:r>
    </w:p>
    <w:p w14:paraId="14FE5504">
      <w:pPr>
        <w:shd w:val="clear"/>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p>
    <w:p w14:paraId="72B0064E">
      <w:pPr>
        <w:shd w:val="clear"/>
        <w:wordWrap w:val="0"/>
        <w:jc w:val="righ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法定代表人或委托代理人签字：</w:t>
      </w:r>
      <w:r>
        <w:rPr>
          <w:rFonts w:hint="eastAsia" w:ascii="仿宋" w:hAnsi="仿宋" w:eastAsia="仿宋" w:cs="仿宋"/>
          <w:sz w:val="28"/>
          <w:szCs w:val="28"/>
          <w:highlight w:val="none"/>
          <w:lang w:val="en-US" w:eastAsia="zh-CN"/>
        </w:rPr>
        <w:t xml:space="preserve">        </w:t>
      </w:r>
    </w:p>
    <w:p w14:paraId="24E353FA">
      <w:pPr>
        <w:shd w:val="clear"/>
        <w:jc w:val="righ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p>
    <w:p w14:paraId="2EB942AE">
      <w:pPr>
        <w:shd w:val="clear"/>
        <w:jc w:val="right"/>
        <w:rPr>
          <w:rFonts w:hint="eastAsia" w:ascii="仿宋" w:hAnsi="仿宋" w:eastAsia="仿宋" w:cs="仿宋"/>
          <w:b/>
          <w:bCs/>
          <w:kern w:val="0"/>
          <w:sz w:val="28"/>
          <w:szCs w:val="28"/>
          <w:highlight w:val="none"/>
        </w:rPr>
      </w:pPr>
      <w:r>
        <w:rPr>
          <w:rFonts w:hint="eastAsia" w:ascii="仿宋" w:hAnsi="仿宋" w:eastAsia="仿宋" w:cs="仿宋"/>
          <w:sz w:val="28"/>
          <w:szCs w:val="28"/>
          <w:highlight w:val="none"/>
        </w:rPr>
        <w:t>签署</w:t>
      </w:r>
      <w:r>
        <w:rPr>
          <w:rFonts w:hint="eastAsia" w:ascii="仿宋" w:hAnsi="仿宋" w:eastAsia="仿宋" w:cs="仿宋"/>
          <w:sz w:val="28"/>
          <w:szCs w:val="28"/>
          <w:highlight w:val="none"/>
          <w:lang w:eastAsia="zh-CN"/>
        </w:rPr>
        <w:t xml:space="preserve">日期：      年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lang w:eastAsia="zh-CN"/>
        </w:rPr>
        <w:t xml:space="preserve"> 月</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日</w:t>
      </w:r>
    </w:p>
    <w:p w14:paraId="3C1115F7">
      <w:pPr>
        <w:shd w:val="clear"/>
        <w:spacing w:line="360" w:lineRule="auto"/>
        <w:jc w:val="center"/>
        <w:rPr>
          <w:rFonts w:hint="eastAsia" w:ascii="仿宋" w:hAnsi="仿宋" w:eastAsia="仿宋" w:cs="仿宋"/>
          <w:sz w:val="28"/>
          <w:szCs w:val="28"/>
          <w:highlight w:val="none"/>
          <w:shd w:val="clear" w:color="auto" w:fill="FFFFFF"/>
          <w:lang w:eastAsia="zh-CN"/>
        </w:rPr>
      </w:pPr>
    </w:p>
    <w:p w14:paraId="553378F7">
      <w:pPr>
        <w:shd w:val="clear"/>
        <w:spacing w:line="240" w:lineRule="auto"/>
        <w:jc w:val="left"/>
        <w:rPr>
          <w:rFonts w:hint="eastAsia" w:ascii="仿宋" w:hAnsi="仿宋" w:eastAsia="仿宋" w:cs="仿宋"/>
          <w:sz w:val="28"/>
          <w:szCs w:val="28"/>
          <w:highlight w:val="none"/>
          <w:shd w:val="clear" w:color="auto" w:fill="FFFFFF"/>
          <w:lang w:eastAsia="zh-CN"/>
        </w:rPr>
      </w:pPr>
      <w:r>
        <w:rPr>
          <w:rFonts w:hint="eastAsia" w:ascii="仿宋" w:hAnsi="仿宋" w:eastAsia="仿宋" w:cs="仿宋"/>
          <w:sz w:val="28"/>
          <w:szCs w:val="28"/>
          <w:highlight w:val="none"/>
          <w:shd w:val="clear" w:color="auto" w:fill="FFFFFF"/>
          <w:lang w:eastAsia="zh-CN"/>
        </w:rPr>
        <w:br w:type="page"/>
      </w:r>
    </w:p>
    <w:p w14:paraId="089C5A44">
      <w:pPr>
        <w:shd w:val="clear"/>
        <w:spacing w:line="360" w:lineRule="auto"/>
        <w:jc w:val="center"/>
        <w:rPr>
          <w:rFonts w:hint="eastAsia" w:ascii="仿宋" w:hAnsi="仿宋" w:eastAsia="仿宋" w:cs="仿宋"/>
          <w:b w:val="0"/>
          <w:bCs w:val="0"/>
          <w:sz w:val="28"/>
          <w:szCs w:val="28"/>
          <w:highlight w:val="none"/>
        </w:rPr>
      </w:pPr>
      <w:r>
        <w:rPr>
          <w:rFonts w:hint="eastAsia" w:ascii="仿宋" w:hAnsi="仿宋" w:eastAsia="仿宋" w:cs="仿宋"/>
          <w:sz w:val="28"/>
          <w:szCs w:val="28"/>
          <w:highlight w:val="none"/>
          <w:shd w:val="clear" w:color="auto" w:fill="FFFFFF"/>
          <w:lang w:eastAsia="zh-CN"/>
        </w:rPr>
        <w:t>《</w:t>
      </w:r>
      <w:r>
        <w:rPr>
          <w:rFonts w:hint="eastAsia" w:ascii="仿宋" w:hAnsi="仿宋" w:eastAsia="仿宋" w:cs="仿宋"/>
          <w:sz w:val="28"/>
          <w:szCs w:val="28"/>
          <w:highlight w:val="none"/>
          <w:shd w:val="clear" w:color="auto" w:fill="FFFFFF"/>
        </w:rPr>
        <w:t>投标响应确认函</w:t>
      </w:r>
      <w:r>
        <w:rPr>
          <w:rFonts w:hint="eastAsia" w:ascii="仿宋" w:hAnsi="仿宋" w:eastAsia="仿宋" w:cs="仿宋"/>
          <w:sz w:val="28"/>
          <w:szCs w:val="28"/>
          <w:highlight w:val="none"/>
          <w:shd w:val="clear" w:color="auto" w:fill="FFFFFF"/>
          <w:lang w:eastAsia="zh-CN"/>
        </w:rPr>
        <w:t>》</w:t>
      </w:r>
    </w:p>
    <w:p w14:paraId="646F91FD">
      <w:pPr>
        <w:shd w:val="clear"/>
        <w:spacing w:line="360" w:lineRule="auto"/>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致：成都三博东篱医院有限公司</w:t>
      </w:r>
    </w:p>
    <w:p w14:paraId="56F83E53">
      <w:pPr>
        <w:shd w:val="clear"/>
        <w:spacing w:line="360" w:lineRule="auto"/>
        <w:ind w:firstLine="480"/>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我方[投标单位全称]，统一社会信用代码：[投标单位统一社会信用代码]，参与</w:t>
      </w:r>
      <w:r>
        <w:rPr>
          <w:rFonts w:hint="eastAsia" w:ascii="仿宋" w:hAnsi="仿宋" w:eastAsia="仿宋" w:cs="仿宋"/>
          <w:sz w:val="28"/>
          <w:szCs w:val="28"/>
          <w:highlight w:val="none"/>
          <w:shd w:val="clear" w:color="auto" w:fill="FFFFFF"/>
        </w:rPr>
        <w:t>成都三博东篱医院</w:t>
      </w:r>
      <w:r>
        <w:rPr>
          <w:rFonts w:hint="eastAsia" w:ascii="仿宋" w:hAnsi="仿宋" w:eastAsia="仿宋" w:cs="仿宋"/>
          <w:sz w:val="28"/>
          <w:szCs w:val="28"/>
          <w:highlight w:val="none"/>
          <w:shd w:val="clear" w:color="auto" w:fill="FFFFFF"/>
          <w:lang w:eastAsia="zh-CN"/>
        </w:rPr>
        <w:t>医保智能审核和DRG精细化管理系统建设项目</w:t>
      </w:r>
      <w:r>
        <w:rPr>
          <w:rFonts w:hint="eastAsia" w:ascii="仿宋" w:hAnsi="仿宋" w:eastAsia="仿宋" w:cs="仿宋"/>
          <w:sz w:val="28"/>
          <w:szCs w:val="28"/>
          <w:highlight w:val="none"/>
          <w:shd w:val="clear" w:color="auto" w:fill="FFFFFF"/>
        </w:rPr>
        <w:t>（邀标编号：</w:t>
      </w:r>
      <w:r>
        <w:rPr>
          <w:rFonts w:hint="eastAsia" w:ascii="仿宋" w:hAnsi="仿宋" w:eastAsia="仿宋" w:cs="仿宋"/>
          <w:sz w:val="28"/>
          <w:szCs w:val="28"/>
          <w:highlight w:val="none"/>
          <w:shd w:val="clear" w:color="auto" w:fill="FFFFFF"/>
          <w:lang w:eastAsia="zh-CN"/>
        </w:rPr>
        <w:t>cddl-xxb-2026-031</w:t>
      </w:r>
      <w:r>
        <w:rPr>
          <w:rFonts w:hint="eastAsia" w:ascii="仿宋" w:hAnsi="仿宋" w:eastAsia="仿宋" w:cs="仿宋"/>
          <w:sz w:val="28"/>
          <w:szCs w:val="28"/>
          <w:highlight w:val="none"/>
          <w:shd w:val="clear" w:color="auto" w:fill="FFFFFF"/>
        </w:rPr>
        <w:t>）</w:t>
      </w:r>
      <w:r>
        <w:rPr>
          <w:rFonts w:hint="eastAsia" w:ascii="仿宋" w:hAnsi="仿宋" w:eastAsia="仿宋" w:cs="仿宋"/>
          <w:sz w:val="28"/>
          <w:szCs w:val="28"/>
          <w:highlight w:val="none"/>
          <w:u w:val="none"/>
          <w:shd w:val="clear" w:color="auto" w:fill="FFFFFF"/>
        </w:rPr>
        <w:t>的投标工作，已仔细研读本项目招标文件（含附件、补充文件、澄清答疑文件等全部相关资料）的全部条款、要求及技术规范。</w:t>
      </w:r>
    </w:p>
    <w:p w14:paraId="27F8313A">
      <w:pPr>
        <w:shd w:val="clear"/>
        <w:spacing w:line="360" w:lineRule="auto"/>
        <w:ind w:firstLine="480"/>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我方确认，我方提交的投标文件已逐条响应招标文件的全部要求（包括但不限于投标人资格要求、技术要求、商务要求等所有条款），无任何偏离、遗漏或拒绝响应的情形。针对本项目，我方报价涵盖</w:t>
      </w:r>
      <w:r>
        <w:rPr>
          <w:rFonts w:hint="eastAsia" w:ascii="仿宋" w:hAnsi="仿宋" w:eastAsia="仿宋" w:cs="仿宋"/>
          <w:sz w:val="28"/>
          <w:szCs w:val="28"/>
          <w:highlight w:val="none"/>
          <w:u w:val="none"/>
          <w:shd w:val="clear" w:color="auto" w:fill="FFFFFF"/>
          <w:lang w:eastAsia="zh-CN"/>
        </w:rPr>
        <w:t>医保智能审核和DRG精细化管理系统</w:t>
      </w:r>
      <w:r>
        <w:rPr>
          <w:rFonts w:hint="eastAsia" w:ascii="仿宋" w:hAnsi="仿宋" w:eastAsia="仿宋" w:cs="仿宋"/>
          <w:sz w:val="28"/>
          <w:szCs w:val="28"/>
          <w:highlight w:val="none"/>
          <w:u w:val="none"/>
          <w:shd w:val="clear" w:color="auto" w:fill="FFFFFF"/>
        </w:rPr>
        <w:t>软件采购、HIS对接、部署、培训、运维等全部费用，无需贵方额外支付任何费用，保障系统功能完整实现。</w:t>
      </w:r>
    </w:p>
    <w:p w14:paraId="7886352B">
      <w:pPr>
        <w:shd w:val="clear"/>
        <w:spacing w:line="360" w:lineRule="auto"/>
        <w:ind w:firstLine="480"/>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我方承诺，投标文件中的响应内容与招标文件要求保持一致，若经查实存在响应不全面、不真实、不符合招标文件要求的情形，自愿放弃投标资格、中标资格，承担相应法律责任及由此给贵单位造成的一切损失，已缴纳的投标保证金不予退还。</w:t>
      </w:r>
    </w:p>
    <w:p w14:paraId="64AA368A">
      <w:pPr>
        <w:shd w:val="clear"/>
        <w:spacing w:line="360" w:lineRule="auto"/>
        <w:ind w:firstLine="480"/>
        <w:rPr>
          <w:rFonts w:hint="eastAsia" w:ascii="仿宋" w:hAnsi="仿宋" w:eastAsia="仿宋" w:cs="仿宋"/>
          <w:sz w:val="28"/>
          <w:szCs w:val="28"/>
          <w:highlight w:val="none"/>
          <w:u w:val="none"/>
          <w:shd w:val="clear" w:color="auto" w:fill="FFFFFF"/>
        </w:rPr>
      </w:pPr>
      <w:r>
        <w:rPr>
          <w:rFonts w:hint="eastAsia" w:ascii="仿宋" w:hAnsi="仿宋" w:eastAsia="仿宋" w:cs="仿宋"/>
          <w:sz w:val="28"/>
          <w:szCs w:val="28"/>
          <w:highlight w:val="none"/>
          <w:u w:val="none"/>
          <w:shd w:val="clear" w:color="auto" w:fill="FFFFFF"/>
        </w:rPr>
        <w:t>本确认函作为投标文件的组成部分，与投标文件具有同等法律效力，自签署之日起生效。</w:t>
      </w:r>
    </w:p>
    <w:p w14:paraId="431DF589">
      <w:pPr>
        <w:shd w:val="clear"/>
        <w:jc w:val="right"/>
        <w:rPr>
          <w:rFonts w:hint="eastAsia" w:ascii="仿宋" w:hAnsi="仿宋" w:eastAsia="仿宋" w:cs="仿宋"/>
          <w:sz w:val="28"/>
          <w:szCs w:val="28"/>
          <w:highlight w:val="none"/>
        </w:rPr>
      </w:pPr>
    </w:p>
    <w:p w14:paraId="3BBC381C">
      <w:pPr>
        <w:shd w:val="clea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投标人名称：xxxx有限公司（加盖公章）</w:t>
      </w:r>
    </w:p>
    <w:p w14:paraId="295837D5">
      <w:pPr>
        <w:shd w:val="clear"/>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p>
    <w:p w14:paraId="1E8C4FE2">
      <w:pPr>
        <w:shd w:val="clear"/>
        <w:wordWrap w:val="0"/>
        <w:jc w:val="righ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法定代表人或委托代理人签字：</w:t>
      </w:r>
      <w:r>
        <w:rPr>
          <w:rFonts w:hint="eastAsia" w:ascii="仿宋" w:hAnsi="仿宋" w:eastAsia="仿宋" w:cs="仿宋"/>
          <w:sz w:val="28"/>
          <w:szCs w:val="28"/>
          <w:highlight w:val="none"/>
          <w:lang w:val="en-US" w:eastAsia="zh-CN"/>
        </w:rPr>
        <w:t xml:space="preserve">        </w:t>
      </w:r>
    </w:p>
    <w:p w14:paraId="4B463107">
      <w:pPr>
        <w:shd w:val="clear"/>
        <w:jc w:val="righ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p>
    <w:p w14:paraId="107F6590">
      <w:pPr>
        <w:shd w:val="clear"/>
        <w:jc w:val="right"/>
        <w:rPr>
          <w:rFonts w:hint="eastAsia" w:ascii="仿宋" w:hAnsi="仿宋" w:eastAsia="仿宋" w:cs="仿宋"/>
          <w:b/>
          <w:bCs/>
          <w:kern w:val="0"/>
          <w:sz w:val="28"/>
          <w:szCs w:val="28"/>
          <w:highlight w:val="none"/>
        </w:rPr>
      </w:pPr>
      <w:r>
        <w:rPr>
          <w:rFonts w:hint="eastAsia" w:ascii="仿宋" w:hAnsi="仿宋" w:eastAsia="仿宋" w:cs="仿宋"/>
          <w:sz w:val="28"/>
          <w:szCs w:val="28"/>
          <w:highlight w:val="none"/>
        </w:rPr>
        <w:t>签署</w:t>
      </w:r>
      <w:r>
        <w:rPr>
          <w:rFonts w:hint="eastAsia" w:ascii="仿宋" w:hAnsi="仿宋" w:eastAsia="仿宋" w:cs="仿宋"/>
          <w:sz w:val="28"/>
          <w:szCs w:val="28"/>
          <w:highlight w:val="none"/>
          <w:lang w:eastAsia="zh-CN"/>
        </w:rPr>
        <w:t xml:space="preserve">日期：      年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lang w:eastAsia="zh-CN"/>
        </w:rPr>
        <w:t xml:space="preserve"> 月</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日</w:t>
      </w:r>
    </w:p>
    <w:p w14:paraId="17E91658">
      <w:pPr>
        <w:shd w:val="clear"/>
        <w:rPr>
          <w:rFonts w:hint="eastAsia" w:ascii="仿宋" w:hAnsi="仿宋" w:eastAsia="仿宋" w:cs="仿宋"/>
          <w:highlight w:val="none"/>
        </w:rPr>
      </w:pPr>
      <w:r>
        <w:rPr>
          <w:rFonts w:hint="eastAsia" w:ascii="仿宋" w:hAnsi="仿宋" w:eastAsia="仿宋" w:cs="仿宋"/>
          <w:highlight w:val="none"/>
        </w:rPr>
        <w:br w:type="page"/>
      </w:r>
    </w:p>
    <w:p w14:paraId="3CD7E0E0">
      <w:pPr>
        <w:pStyle w:val="3"/>
        <w:shd w:val="clear"/>
        <w:tabs>
          <w:tab w:val="left" w:pos="3362"/>
        </w:tabs>
        <w:rPr>
          <w:rFonts w:hint="eastAsia" w:ascii="仿宋" w:hAnsi="仿宋" w:eastAsia="仿宋" w:cs="仿宋"/>
          <w:highlight w:val="none"/>
          <w:lang w:eastAsia="zh-CN"/>
        </w:rPr>
      </w:pPr>
      <w:bookmarkStart w:id="192" w:name="_Toc24635"/>
      <w:bookmarkStart w:id="193" w:name="_Toc6040"/>
      <w:bookmarkStart w:id="194" w:name="_Toc9670"/>
      <w:bookmarkStart w:id="195" w:name="_Toc13226"/>
      <w:bookmarkStart w:id="196" w:name="_Toc7077"/>
      <w:r>
        <w:rPr>
          <w:rFonts w:hint="eastAsia" w:ascii="仿宋" w:hAnsi="仿宋" w:eastAsia="仿宋" w:cs="仿宋"/>
          <w:highlight w:val="none"/>
        </w:rPr>
        <w:t>附件</w:t>
      </w:r>
      <w:r>
        <w:rPr>
          <w:rFonts w:hint="eastAsia" w:ascii="仿宋" w:hAnsi="仿宋" w:eastAsia="仿宋" w:cs="仿宋"/>
          <w:highlight w:val="none"/>
          <w:lang w:val="en-US" w:eastAsia="zh-CN"/>
        </w:rPr>
        <w:t>4</w:t>
      </w:r>
      <w:r>
        <w:rPr>
          <w:rFonts w:hint="eastAsia" w:ascii="仿宋" w:hAnsi="仿宋" w:eastAsia="仿宋" w:cs="仿宋"/>
          <w:highlight w:val="none"/>
        </w:rPr>
        <w:t>：报价函</w:t>
      </w:r>
      <w:bookmarkEnd w:id="181"/>
      <w:bookmarkEnd w:id="192"/>
      <w:bookmarkEnd w:id="193"/>
      <w:bookmarkEnd w:id="194"/>
      <w:bookmarkEnd w:id="195"/>
      <w:bookmarkEnd w:id="196"/>
      <w:r>
        <w:rPr>
          <w:rFonts w:hint="eastAsia" w:ascii="仿宋" w:hAnsi="仿宋" w:eastAsia="仿宋" w:cs="仿宋"/>
          <w:highlight w:val="none"/>
          <w:lang w:eastAsia="zh-CN"/>
        </w:rPr>
        <w:tab/>
      </w:r>
    </w:p>
    <w:p w14:paraId="41639A7E">
      <w:pPr>
        <w:shd w:val="clear"/>
        <w:spacing w:line="360" w:lineRule="auto"/>
        <w:jc w:val="center"/>
        <w:rPr>
          <w:rFonts w:hint="eastAsia" w:ascii="仿宋" w:hAnsi="仿宋" w:eastAsia="仿宋" w:cs="仿宋"/>
          <w:sz w:val="24"/>
          <w:szCs w:val="24"/>
          <w:highlight w:val="none"/>
          <w:shd w:val="clear" w:color="auto" w:fill="FFFFFF"/>
          <w:lang w:eastAsia="zh-CN"/>
        </w:rPr>
      </w:pPr>
      <w:r>
        <w:rPr>
          <w:rFonts w:hint="eastAsia" w:ascii="仿宋" w:hAnsi="仿宋" w:eastAsia="仿宋" w:cs="仿宋"/>
          <w:sz w:val="24"/>
          <w:szCs w:val="24"/>
          <w:highlight w:val="none"/>
          <w:shd w:val="clear" w:color="auto" w:fill="FFFFFF"/>
          <w:lang w:eastAsia="zh-CN"/>
        </w:rPr>
        <w:t>《报价函》</w:t>
      </w:r>
    </w:p>
    <w:p w14:paraId="04A68E6E">
      <w:pPr>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致：成都三博东篱医院有限公司</w:t>
      </w:r>
    </w:p>
    <w:p w14:paraId="458A3D26">
      <w:pPr>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（报价供应商全称）授权（姓名）（职务）为全权代表，参加</w:t>
      </w:r>
      <w:r>
        <w:rPr>
          <w:rFonts w:hint="eastAsia" w:ascii="仿宋" w:hAnsi="仿宋" w:eastAsia="仿宋" w:cs="仿宋"/>
          <w:sz w:val="24"/>
          <w:szCs w:val="24"/>
          <w:highlight w:val="none"/>
          <w:lang w:eastAsia="zh-CN"/>
        </w:rPr>
        <w:t>成都三博东篱医院医保智能审核和DRG精细化管理系统建设项目</w:t>
      </w:r>
      <w:r>
        <w:rPr>
          <w:rFonts w:hint="eastAsia" w:ascii="仿宋" w:hAnsi="仿宋" w:eastAsia="仿宋" w:cs="仿宋"/>
          <w:sz w:val="24"/>
          <w:szCs w:val="24"/>
          <w:highlight w:val="none"/>
        </w:rPr>
        <w:t>（招标编号：</w:t>
      </w:r>
      <w:r>
        <w:rPr>
          <w:rFonts w:hint="eastAsia" w:ascii="仿宋" w:hAnsi="仿宋" w:eastAsia="仿宋" w:cs="仿宋"/>
          <w:sz w:val="24"/>
          <w:szCs w:val="24"/>
          <w:highlight w:val="none"/>
          <w:lang w:eastAsia="zh-CN"/>
        </w:rPr>
        <w:t>cddl-xxb-2026-031</w:t>
      </w:r>
      <w:r>
        <w:rPr>
          <w:rFonts w:hint="eastAsia" w:ascii="仿宋" w:hAnsi="仿宋" w:eastAsia="仿宋" w:cs="仿宋"/>
          <w:sz w:val="24"/>
          <w:szCs w:val="24"/>
          <w:highlight w:val="none"/>
        </w:rPr>
        <w:t>）的有关报价活动。为此，我方郑重声明以下诸点并对之负法律责任：</w:t>
      </w:r>
    </w:p>
    <w:p w14:paraId="5CBB2BA0">
      <w:pPr>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1．我方愿意按照询价文件的全部要求，对</w:t>
      </w:r>
      <w:r>
        <w:rPr>
          <w:rFonts w:hint="eastAsia" w:ascii="仿宋" w:hAnsi="仿宋" w:eastAsia="仿宋" w:cs="仿宋"/>
          <w:sz w:val="24"/>
          <w:szCs w:val="24"/>
          <w:highlight w:val="none"/>
          <w:lang w:eastAsia="zh-CN"/>
        </w:rPr>
        <w:t>成都三博东篱医院医保智能审核和DRG精细化管理系统建设项目</w:t>
      </w:r>
      <w:r>
        <w:rPr>
          <w:rFonts w:hint="eastAsia" w:ascii="仿宋" w:hAnsi="仿宋" w:eastAsia="仿宋" w:cs="仿宋"/>
          <w:sz w:val="24"/>
          <w:szCs w:val="24"/>
          <w:highlight w:val="none"/>
        </w:rPr>
        <w:t>（招标编号：</w:t>
      </w:r>
      <w:r>
        <w:rPr>
          <w:rFonts w:hint="eastAsia" w:ascii="仿宋" w:hAnsi="仿宋" w:eastAsia="仿宋" w:cs="仿宋"/>
          <w:sz w:val="24"/>
          <w:szCs w:val="24"/>
          <w:highlight w:val="none"/>
          <w:lang w:eastAsia="zh-CN"/>
        </w:rPr>
        <w:t>cddl-xxb-2026-031</w:t>
      </w:r>
      <w:r>
        <w:rPr>
          <w:rFonts w:hint="eastAsia" w:ascii="仿宋" w:hAnsi="仿宋" w:eastAsia="仿宋" w:cs="仿宋"/>
          <w:sz w:val="24"/>
          <w:szCs w:val="24"/>
          <w:highlight w:val="none"/>
        </w:rPr>
        <w:t>）进行</w:t>
      </w:r>
      <w:r>
        <w:rPr>
          <w:rFonts w:hint="eastAsia" w:ascii="仿宋" w:hAnsi="仿宋" w:eastAsia="仿宋" w:cs="仿宋"/>
          <w:sz w:val="24"/>
          <w:szCs w:val="24"/>
          <w:highlight w:val="none"/>
          <w:lang w:val="en-US" w:eastAsia="zh-CN"/>
        </w:rPr>
        <w:t>分项报价</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DRG精细化管理系统报价为￥</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元（大写：</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）、医保智能审核系统报价为￥</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元（大写：</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），总报价为￥</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元（大写：</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）。若分系统中标，我方承诺按对应报价签订合同，不主张任何溢价。如果成交，</w:t>
      </w:r>
      <w:r>
        <w:rPr>
          <w:rFonts w:hint="eastAsia" w:ascii="仿宋" w:hAnsi="仿宋" w:eastAsia="仿宋" w:cs="仿宋"/>
          <w:sz w:val="24"/>
          <w:highlight w:val="none"/>
        </w:rPr>
        <w:t>保证在签订合同</w:t>
      </w:r>
      <w:r>
        <w:rPr>
          <w:rFonts w:hint="eastAsia" w:ascii="仿宋" w:hAnsi="仿宋" w:eastAsia="仿宋" w:cs="仿宋"/>
          <w:sz w:val="24"/>
          <w:highlight w:val="none"/>
          <w:lang w:val="en-US" w:eastAsia="zh-CN"/>
        </w:rPr>
        <w:t>，接口对接完成后</w:t>
      </w:r>
      <w:r>
        <w:rPr>
          <w:rFonts w:hint="eastAsia" w:ascii="仿宋" w:hAnsi="仿宋" w:eastAsia="仿宋" w:cs="仿宋"/>
          <w:sz w:val="24"/>
          <w:highlight w:val="none"/>
        </w:rPr>
        <w:t>60个工作日内完成系统部署、调试与交付上线</w:t>
      </w:r>
      <w:r>
        <w:rPr>
          <w:rFonts w:hint="eastAsia" w:ascii="仿宋" w:hAnsi="仿宋" w:eastAsia="仿宋" w:cs="仿宋"/>
          <w:sz w:val="24"/>
          <w:szCs w:val="24"/>
          <w:highlight w:val="none"/>
        </w:rPr>
        <w:t>。</w:t>
      </w:r>
    </w:p>
    <w:p w14:paraId="0DCFE111">
      <w:pPr>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2．我方提交的报价文件为：正本一份，副本</w:t>
      </w:r>
      <w:r>
        <w:rPr>
          <w:rFonts w:hint="eastAsia" w:ascii="仿宋" w:hAnsi="仿宋" w:eastAsia="仿宋" w:cs="仿宋"/>
          <w:sz w:val="24"/>
          <w:szCs w:val="24"/>
          <w:highlight w:val="none"/>
          <w:lang w:val="en-US" w:eastAsia="zh-CN"/>
        </w:rPr>
        <w:t>肆</w:t>
      </w:r>
      <w:r>
        <w:rPr>
          <w:rFonts w:hint="eastAsia" w:ascii="仿宋" w:hAnsi="仿宋" w:eastAsia="仿宋" w:cs="仿宋"/>
          <w:sz w:val="24"/>
          <w:szCs w:val="24"/>
          <w:highlight w:val="none"/>
          <w:lang w:eastAsia="zh-CN"/>
        </w:rPr>
        <w:t>份</w:t>
      </w:r>
      <w:r>
        <w:rPr>
          <w:rFonts w:hint="eastAsia" w:ascii="仿宋" w:hAnsi="仿宋" w:eastAsia="仿宋" w:cs="仿宋"/>
          <w:sz w:val="24"/>
          <w:szCs w:val="24"/>
          <w:highlight w:val="none"/>
        </w:rPr>
        <w:t>；</w:t>
      </w:r>
    </w:p>
    <w:p w14:paraId="3808BA7C">
      <w:pPr>
        <w:shd w:val="clear"/>
        <w:spacing w:line="360" w:lineRule="auto"/>
        <w:rPr>
          <w:rFonts w:hint="eastAsia" w:ascii="仿宋" w:hAnsi="仿宋" w:eastAsia="仿宋" w:cs="仿宋"/>
          <w:b/>
          <w:sz w:val="24"/>
          <w:szCs w:val="24"/>
          <w:highlight w:val="none"/>
        </w:rPr>
      </w:pPr>
      <w:r>
        <w:rPr>
          <w:rFonts w:hint="eastAsia" w:ascii="仿宋" w:hAnsi="仿宋" w:eastAsia="仿宋" w:cs="仿宋"/>
          <w:sz w:val="24"/>
          <w:szCs w:val="24"/>
          <w:highlight w:val="none"/>
        </w:rPr>
        <w:t>　　3．我方完全理解并同意放弃对询价文件有不明及误解的权利；</w:t>
      </w:r>
    </w:p>
    <w:p w14:paraId="20744975">
      <w:pPr>
        <w:pStyle w:val="27"/>
        <w:shd w:val="clear"/>
        <w:spacing w:before="0" w:beforeAutospacing="0" w:after="0" w:afterAutospacing="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4．我方将按询价文件的规定履行合同责任和义务；</w:t>
      </w:r>
    </w:p>
    <w:p w14:paraId="38A5C63B">
      <w:pPr>
        <w:pStyle w:val="27"/>
        <w:shd w:val="clear"/>
        <w:spacing w:before="0" w:beforeAutospacing="0" w:after="0" w:afterAutospacing="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5．我方同意提供按照贵方可能要求的与其报价有关的一切数据或资料，并对其真实性负责；</w:t>
      </w:r>
    </w:p>
    <w:p w14:paraId="14B74CDC">
      <w:pPr>
        <w:pStyle w:val="27"/>
        <w:shd w:val="clear"/>
        <w:spacing w:before="0" w:beforeAutospacing="0" w:after="0" w:afterAutospacing="0" w:line="360" w:lineRule="auto"/>
        <w:ind w:left="0" w:leftChars="0" w:firstLine="2940" w:firstLineChars="1225"/>
        <w:rPr>
          <w:rFonts w:hint="eastAsia" w:ascii="仿宋" w:hAnsi="仿宋" w:eastAsia="仿宋" w:cs="仿宋"/>
          <w:sz w:val="24"/>
          <w:szCs w:val="24"/>
          <w:highlight w:val="none"/>
          <w:shd w:val="clear" w:color="auto" w:fill="FFFFFF"/>
        </w:rPr>
      </w:pPr>
      <w:r>
        <w:rPr>
          <w:rFonts w:hint="eastAsia" w:ascii="仿宋" w:hAnsi="仿宋" w:eastAsia="仿宋" w:cs="仿宋"/>
          <w:sz w:val="24"/>
          <w:szCs w:val="24"/>
          <w:highlight w:val="none"/>
        </w:rPr>
        <w:t>投标人名称：xxxx有限公司</w:t>
      </w:r>
      <w:r>
        <w:rPr>
          <w:rFonts w:hint="eastAsia" w:ascii="仿宋" w:hAnsi="仿宋" w:eastAsia="仿宋" w:cs="仿宋"/>
          <w:sz w:val="24"/>
          <w:szCs w:val="24"/>
          <w:highlight w:val="none"/>
          <w:shd w:val="clear" w:color="auto" w:fill="FFFFFF"/>
        </w:rPr>
        <w:t>（</w:t>
      </w:r>
      <w:r>
        <w:rPr>
          <w:rFonts w:hint="eastAsia" w:ascii="仿宋" w:hAnsi="仿宋" w:eastAsia="仿宋" w:cs="仿宋"/>
          <w:color w:val="FF0000"/>
          <w:sz w:val="24"/>
          <w:szCs w:val="24"/>
          <w:highlight w:val="none"/>
          <w:shd w:val="clear" w:color="auto" w:fill="FFFFFF"/>
        </w:rPr>
        <w:t>加盖公章</w:t>
      </w:r>
      <w:r>
        <w:rPr>
          <w:rFonts w:hint="eastAsia" w:ascii="仿宋" w:hAnsi="仿宋" w:eastAsia="仿宋" w:cs="仿宋"/>
          <w:sz w:val="24"/>
          <w:szCs w:val="24"/>
          <w:highlight w:val="none"/>
          <w:shd w:val="clear" w:color="auto" w:fill="FFFFFF"/>
        </w:rPr>
        <w:t>）：</w:t>
      </w:r>
    </w:p>
    <w:p w14:paraId="734EAB68">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法定代表人或委托代理人签字：</w:t>
      </w:r>
    </w:p>
    <w:p w14:paraId="4A0ED373">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单位地址：</w:t>
      </w:r>
    </w:p>
    <w:p w14:paraId="2906C8B9">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邮政编码：</w:t>
      </w:r>
    </w:p>
    <w:p w14:paraId="4EAC8D8E">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电话：</w:t>
      </w:r>
    </w:p>
    <w:p w14:paraId="3CF11493">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开户银行名称：</w:t>
      </w:r>
    </w:p>
    <w:p w14:paraId="05853F80">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开户银行帐号：</w:t>
      </w:r>
    </w:p>
    <w:p w14:paraId="3B5B8183">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开户银行地址：</w:t>
      </w:r>
    </w:p>
    <w:p w14:paraId="055BDA84">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jc w:val="center"/>
        <w:textAlignment w:val="auto"/>
        <w:rPr>
          <w:rFonts w:hint="eastAsia" w:ascii="仿宋" w:hAnsi="仿宋" w:eastAsia="仿宋" w:cs="仿宋"/>
          <w:sz w:val="24"/>
          <w:szCs w:val="24"/>
          <w:highlight w:val="none"/>
          <w:shd w:val="clear" w:color="auto" w:fill="FFFFFF"/>
          <w:lang w:eastAsia="zh-CN"/>
        </w:rPr>
      </w:pPr>
      <w:r>
        <w:rPr>
          <w:rFonts w:hint="eastAsia" w:ascii="仿宋" w:hAnsi="仿宋" w:eastAsia="仿宋" w:cs="仿宋"/>
          <w:color w:val="000000"/>
          <w:kern w:val="0"/>
          <w:sz w:val="24"/>
          <w:szCs w:val="24"/>
          <w:highlight w:val="none"/>
          <w:lang w:val="en-US" w:eastAsia="zh-CN" w:bidi="ar-SA"/>
        </w:rPr>
        <w:t>日期：      年      月</w:t>
      </w:r>
    </w:p>
    <w:p w14:paraId="37EC8E73">
      <w:pPr>
        <w:rPr>
          <w:rFonts w:hint="eastAsia" w:ascii="仿宋" w:hAnsi="仿宋" w:eastAsia="仿宋" w:cs="仿宋"/>
          <w:highlight w:val="none"/>
        </w:rPr>
      </w:pPr>
      <w:bookmarkStart w:id="197" w:name="_Toc18530"/>
      <w:r>
        <w:rPr>
          <w:rFonts w:hint="eastAsia" w:ascii="仿宋" w:hAnsi="仿宋" w:eastAsia="仿宋" w:cs="仿宋"/>
          <w:highlight w:val="none"/>
        </w:rPr>
        <w:br w:type="page"/>
      </w:r>
    </w:p>
    <w:p w14:paraId="45B4FD89">
      <w:pPr>
        <w:pStyle w:val="3"/>
        <w:shd w:val="clear"/>
        <w:rPr>
          <w:rFonts w:hint="eastAsia" w:ascii="仿宋" w:hAnsi="仿宋" w:eastAsia="仿宋" w:cs="仿宋"/>
          <w:highlight w:val="none"/>
        </w:rPr>
      </w:pPr>
      <w:bookmarkStart w:id="198" w:name="_Toc13714"/>
      <w:bookmarkStart w:id="199" w:name="_Toc16019"/>
      <w:bookmarkStart w:id="200" w:name="_Toc25984"/>
      <w:bookmarkStart w:id="201" w:name="_Toc27443"/>
      <w:bookmarkStart w:id="202" w:name="_Toc27855"/>
      <w:r>
        <w:rPr>
          <w:rFonts w:hint="eastAsia" w:ascii="仿宋" w:hAnsi="仿宋" w:eastAsia="仿宋" w:cs="仿宋"/>
          <w:highlight w:val="none"/>
        </w:rPr>
        <w:t>附件</w:t>
      </w:r>
      <w:r>
        <w:rPr>
          <w:rFonts w:hint="eastAsia" w:ascii="仿宋" w:hAnsi="仿宋" w:eastAsia="仿宋" w:cs="仿宋"/>
          <w:highlight w:val="none"/>
          <w:lang w:val="en-US" w:eastAsia="zh-CN"/>
        </w:rPr>
        <w:t>5</w:t>
      </w:r>
      <w:r>
        <w:rPr>
          <w:rFonts w:hint="eastAsia" w:ascii="仿宋" w:hAnsi="仿宋" w:eastAsia="仿宋" w:cs="仿宋"/>
          <w:highlight w:val="none"/>
        </w:rPr>
        <w:t>：报价表</w:t>
      </w:r>
      <w:bookmarkEnd w:id="197"/>
      <w:bookmarkEnd w:id="198"/>
      <w:bookmarkEnd w:id="199"/>
      <w:bookmarkEnd w:id="200"/>
      <w:bookmarkEnd w:id="201"/>
      <w:bookmarkEnd w:id="202"/>
    </w:p>
    <w:p w14:paraId="3E5FFF62">
      <w:pPr>
        <w:shd w:val="clear"/>
        <w:spacing w:line="360" w:lineRule="auto"/>
        <w:jc w:val="center"/>
        <w:rPr>
          <w:rFonts w:hint="eastAsia" w:ascii="仿宋" w:hAnsi="仿宋" w:eastAsia="仿宋" w:cs="仿宋"/>
          <w:sz w:val="28"/>
          <w:szCs w:val="28"/>
          <w:highlight w:val="none"/>
          <w:shd w:val="clear" w:color="auto" w:fill="FFFFFF"/>
          <w:lang w:eastAsia="zh-CN"/>
        </w:rPr>
      </w:pPr>
      <w:bookmarkStart w:id="203" w:name="_Toc30277"/>
      <w:bookmarkStart w:id="204" w:name="_Toc25185"/>
      <w:bookmarkStart w:id="205" w:name="_Toc29829"/>
      <w:r>
        <w:rPr>
          <w:rFonts w:hint="eastAsia" w:ascii="仿宋" w:hAnsi="仿宋" w:eastAsia="仿宋" w:cs="仿宋"/>
          <w:sz w:val="28"/>
          <w:szCs w:val="28"/>
          <w:highlight w:val="none"/>
          <w:shd w:val="clear" w:color="auto" w:fill="FFFFFF"/>
          <w:lang w:val="en-US" w:eastAsia="zh-CN"/>
        </w:rPr>
        <w:t>《</w:t>
      </w:r>
      <w:r>
        <w:rPr>
          <w:rFonts w:hint="eastAsia" w:ascii="仿宋" w:hAnsi="仿宋" w:eastAsia="仿宋" w:cs="仿宋"/>
          <w:sz w:val="28"/>
          <w:szCs w:val="28"/>
          <w:highlight w:val="none"/>
          <w:shd w:val="clear" w:color="auto" w:fill="FFFFFF"/>
          <w:lang w:eastAsia="zh-CN"/>
        </w:rPr>
        <w:t>报价表</w:t>
      </w:r>
      <w:r>
        <w:rPr>
          <w:rFonts w:hint="eastAsia" w:ascii="仿宋" w:hAnsi="仿宋" w:eastAsia="仿宋" w:cs="仿宋"/>
          <w:sz w:val="28"/>
          <w:szCs w:val="28"/>
          <w:highlight w:val="none"/>
          <w:shd w:val="clear" w:color="auto" w:fill="FFFFFF"/>
          <w:lang w:val="en-US" w:eastAsia="zh-CN"/>
        </w:rPr>
        <w:t>》</w:t>
      </w:r>
      <w:bookmarkEnd w:id="203"/>
      <w:bookmarkEnd w:id="204"/>
      <w:bookmarkEnd w:id="205"/>
    </w:p>
    <w:p w14:paraId="7302D13C">
      <w:pPr>
        <w:shd w:val="clear"/>
        <w:spacing w:line="360" w:lineRule="auto"/>
        <w:rPr>
          <w:rFonts w:hint="eastAsia" w:ascii="仿宋" w:hAnsi="仿宋" w:eastAsia="仿宋" w:cs="仿宋"/>
          <w:b/>
          <w:kern w:val="0"/>
          <w:sz w:val="24"/>
          <w:szCs w:val="24"/>
          <w:highlight w:val="none"/>
          <w:lang w:eastAsia="zh-CN"/>
        </w:rPr>
      </w:pPr>
      <w:r>
        <w:rPr>
          <w:rFonts w:hint="eastAsia" w:ascii="仿宋" w:hAnsi="仿宋" w:eastAsia="仿宋" w:cs="仿宋"/>
          <w:sz w:val="24"/>
          <w:szCs w:val="24"/>
          <w:highlight w:val="none"/>
        </w:rPr>
        <w:t>致：成都三博东篱医院有限公司；招标编号：</w:t>
      </w:r>
      <w:r>
        <w:rPr>
          <w:rFonts w:hint="eastAsia" w:ascii="仿宋" w:hAnsi="仿宋" w:eastAsia="仿宋" w:cs="仿宋"/>
          <w:sz w:val="24"/>
          <w:szCs w:val="24"/>
          <w:highlight w:val="none"/>
          <w:lang w:eastAsia="zh-CN"/>
        </w:rPr>
        <w:t>cddl-xxb-2026-031</w:t>
      </w:r>
    </w:p>
    <w:tbl>
      <w:tblPr>
        <w:tblStyle w:val="19"/>
        <w:tblW w:w="10064" w:type="dxa"/>
        <w:tblInd w:w="-76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51"/>
        <w:gridCol w:w="1666"/>
        <w:gridCol w:w="1666"/>
        <w:gridCol w:w="1668"/>
        <w:gridCol w:w="1400"/>
        <w:gridCol w:w="2213"/>
      </w:tblGrid>
      <w:tr w14:paraId="4BC313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1" w:hRule="atLeast"/>
        </w:trPr>
        <w:tc>
          <w:tcPr>
            <w:tcW w:w="1451" w:type="dxa"/>
            <w:vAlign w:val="center"/>
          </w:tcPr>
          <w:p w14:paraId="76FF99F2">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投标人</w:t>
            </w:r>
          </w:p>
        </w:tc>
        <w:tc>
          <w:tcPr>
            <w:tcW w:w="1666" w:type="dxa"/>
            <w:vAlign w:val="center"/>
          </w:tcPr>
          <w:p w14:paraId="40E592AD">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highlight w:val="none"/>
              </w:rPr>
            </w:pPr>
            <w:r>
              <w:rPr>
                <w:rFonts w:hint="eastAsia" w:ascii="仿宋" w:hAnsi="仿宋" w:eastAsia="仿宋" w:cs="仿宋"/>
                <w:b/>
                <w:sz w:val="24"/>
                <w:highlight w:val="none"/>
              </w:rPr>
              <w:t>医保智能审核系统报价</w:t>
            </w:r>
          </w:p>
          <w:p w14:paraId="02FE342D">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highlight w:val="none"/>
              </w:rPr>
              <w:t>（万元）</w:t>
            </w:r>
          </w:p>
        </w:tc>
        <w:tc>
          <w:tcPr>
            <w:tcW w:w="1666" w:type="dxa"/>
            <w:vAlign w:val="center"/>
          </w:tcPr>
          <w:p w14:paraId="55FDCB0A">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highlight w:val="none"/>
              </w:rPr>
            </w:pPr>
            <w:r>
              <w:rPr>
                <w:rFonts w:hint="eastAsia" w:ascii="仿宋" w:hAnsi="仿宋" w:eastAsia="仿宋" w:cs="仿宋"/>
                <w:b/>
                <w:sz w:val="24"/>
                <w:highlight w:val="none"/>
              </w:rPr>
              <w:t>DRG精细化管理系统报价</w:t>
            </w:r>
          </w:p>
          <w:p w14:paraId="3990473D">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highlight w:val="none"/>
              </w:rPr>
              <w:t>（万元）</w:t>
            </w:r>
          </w:p>
        </w:tc>
        <w:tc>
          <w:tcPr>
            <w:tcW w:w="1668" w:type="dxa"/>
            <w:vAlign w:val="center"/>
          </w:tcPr>
          <w:p w14:paraId="577F0A37">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投标总价</w:t>
            </w:r>
          </w:p>
          <w:p w14:paraId="7014224E">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（万元）</w:t>
            </w:r>
          </w:p>
        </w:tc>
        <w:tc>
          <w:tcPr>
            <w:tcW w:w="1400" w:type="dxa"/>
            <w:vAlign w:val="center"/>
          </w:tcPr>
          <w:p w14:paraId="283A7DFA">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bCs/>
                <w:sz w:val="24"/>
                <w:szCs w:val="24"/>
                <w:highlight w:val="none"/>
              </w:rPr>
              <w:t>免费服务期限</w:t>
            </w:r>
          </w:p>
        </w:tc>
        <w:tc>
          <w:tcPr>
            <w:tcW w:w="2213" w:type="dxa"/>
            <w:vAlign w:val="center"/>
          </w:tcPr>
          <w:p w14:paraId="5BDB1E71">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p>
          <w:p w14:paraId="17151657">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备注</w:t>
            </w:r>
          </w:p>
        </w:tc>
      </w:tr>
      <w:tr w14:paraId="72E83A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32" w:hRule="atLeast"/>
        </w:trPr>
        <w:tc>
          <w:tcPr>
            <w:tcW w:w="1451" w:type="dxa"/>
            <w:vAlign w:val="center"/>
          </w:tcPr>
          <w:p w14:paraId="06131AAB">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firstLine="580" w:firstLineChars="242"/>
              <w:textAlignment w:val="auto"/>
              <w:rPr>
                <w:rFonts w:hint="eastAsia" w:ascii="仿宋" w:hAnsi="仿宋" w:eastAsia="仿宋" w:cs="仿宋"/>
                <w:sz w:val="24"/>
                <w:szCs w:val="24"/>
                <w:highlight w:val="none"/>
              </w:rPr>
            </w:pPr>
          </w:p>
        </w:tc>
        <w:tc>
          <w:tcPr>
            <w:tcW w:w="1666" w:type="dxa"/>
            <w:vAlign w:val="center"/>
          </w:tcPr>
          <w:p w14:paraId="268C3830">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p>
        </w:tc>
        <w:tc>
          <w:tcPr>
            <w:tcW w:w="1666" w:type="dxa"/>
            <w:vAlign w:val="center"/>
          </w:tcPr>
          <w:p w14:paraId="511E347F">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p>
        </w:tc>
        <w:tc>
          <w:tcPr>
            <w:tcW w:w="1668" w:type="dxa"/>
            <w:vAlign w:val="center"/>
          </w:tcPr>
          <w:p w14:paraId="29450C95">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p>
        </w:tc>
        <w:tc>
          <w:tcPr>
            <w:tcW w:w="1400" w:type="dxa"/>
            <w:vAlign w:val="center"/>
          </w:tcPr>
          <w:p w14:paraId="2453AEAF">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p>
        </w:tc>
        <w:tc>
          <w:tcPr>
            <w:tcW w:w="2213" w:type="dxa"/>
            <w:vAlign w:val="center"/>
          </w:tcPr>
          <w:p w14:paraId="3B69E4D2">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both"/>
              <w:textAlignment w:val="auto"/>
              <w:rPr>
                <w:rFonts w:hint="eastAsia" w:ascii="仿宋" w:hAnsi="仿宋" w:eastAsia="仿宋" w:cs="仿宋"/>
                <w:sz w:val="24"/>
                <w:szCs w:val="24"/>
                <w:highlight w:val="none"/>
              </w:rPr>
            </w:pPr>
            <w:r>
              <w:rPr>
                <w:rFonts w:hint="eastAsia" w:ascii="仿宋" w:hAnsi="仿宋" w:eastAsia="仿宋" w:cs="仿宋"/>
                <w:sz w:val="24"/>
                <w:highlight w:val="none"/>
              </w:rPr>
              <w:t>两项报价均含对应系统软件采购、定制开发、HIS对接、部署、培训、运维等全部费用（HIS接口费除外）</w:t>
            </w:r>
          </w:p>
        </w:tc>
      </w:tr>
      <w:tr w14:paraId="56EFEB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trPr>
        <w:tc>
          <w:tcPr>
            <w:tcW w:w="1451" w:type="dxa"/>
            <w:vAlign w:val="center"/>
          </w:tcPr>
          <w:p w14:paraId="519D947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kern w:val="0"/>
                <w:sz w:val="24"/>
                <w:highlight w:val="none"/>
              </w:rPr>
              <w:t>免费服务期</w:t>
            </w:r>
            <w:r>
              <w:rPr>
                <w:rFonts w:hint="eastAsia" w:ascii="仿宋" w:hAnsi="仿宋" w:eastAsia="仿宋" w:cs="仿宋"/>
                <w:kern w:val="0"/>
                <w:sz w:val="24"/>
                <w:highlight w:val="none"/>
                <w:lang w:val="en-US" w:eastAsia="zh-CN"/>
              </w:rPr>
              <w:t>后</w:t>
            </w:r>
            <w:r>
              <w:rPr>
                <w:rFonts w:hint="eastAsia" w:ascii="仿宋" w:hAnsi="仿宋" w:eastAsia="仿宋" w:cs="仿宋"/>
                <w:kern w:val="0"/>
                <w:sz w:val="24"/>
                <w:highlight w:val="none"/>
              </w:rPr>
              <w:t>年服务费</w:t>
            </w:r>
          </w:p>
        </w:tc>
        <w:tc>
          <w:tcPr>
            <w:tcW w:w="6400" w:type="dxa"/>
            <w:gridSpan w:val="4"/>
            <w:vAlign w:val="center"/>
          </w:tcPr>
          <w:p w14:paraId="436F754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 w:hAnsi="仿宋" w:eastAsia="仿宋" w:cs="仿宋"/>
                <w:kern w:val="0"/>
                <w:sz w:val="24"/>
                <w:highlight w:val="none"/>
              </w:rPr>
            </w:pPr>
            <w:r>
              <w:rPr>
                <w:rFonts w:hint="eastAsia" w:ascii="仿宋" w:hAnsi="仿宋" w:eastAsia="仿宋" w:cs="仿宋"/>
                <w:kern w:val="0"/>
                <w:sz w:val="24"/>
                <w:highlight w:val="none"/>
              </w:rPr>
              <w:t>DRG系统：</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rPr>
              <w:t>≤元/年</w:t>
            </w:r>
          </w:p>
          <w:p w14:paraId="28886B2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 w:hAnsi="仿宋" w:eastAsia="仿宋" w:cs="仿宋"/>
                <w:sz w:val="24"/>
                <w:szCs w:val="24"/>
                <w:highlight w:val="none"/>
              </w:rPr>
            </w:pPr>
            <w:r>
              <w:rPr>
                <w:rFonts w:hint="eastAsia" w:ascii="仿宋" w:hAnsi="仿宋" w:eastAsia="仿宋" w:cs="仿宋"/>
                <w:kern w:val="0"/>
                <w:sz w:val="24"/>
                <w:highlight w:val="none"/>
              </w:rPr>
              <w:t>医保智能审核系统：</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rPr>
              <w:t>≤元/年</w:t>
            </w:r>
          </w:p>
        </w:tc>
        <w:tc>
          <w:tcPr>
            <w:tcW w:w="2213" w:type="dxa"/>
            <w:vAlign w:val="center"/>
          </w:tcPr>
          <w:p w14:paraId="75989D0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仿宋" w:hAnsi="仿宋" w:eastAsia="仿宋" w:cs="仿宋"/>
                <w:kern w:val="0"/>
                <w:sz w:val="24"/>
                <w:highlight w:val="none"/>
              </w:rPr>
            </w:pPr>
            <w:r>
              <w:rPr>
                <w:rFonts w:hint="eastAsia" w:ascii="仿宋" w:hAnsi="仿宋" w:eastAsia="仿宋" w:cs="仿宋"/>
                <w:kern w:val="0"/>
                <w:sz w:val="24"/>
                <w:highlight w:val="none"/>
              </w:rPr>
              <w:t>按年支付（预付50%，剩余50%按服务考核结果支付）</w:t>
            </w:r>
          </w:p>
        </w:tc>
      </w:tr>
      <w:tr w14:paraId="0A1A0B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 w:hRule="atLeast"/>
        </w:trPr>
        <w:tc>
          <w:tcPr>
            <w:tcW w:w="1451" w:type="dxa"/>
            <w:vAlign w:val="center"/>
          </w:tcPr>
          <w:p w14:paraId="5628FBD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投标总价（大写）</w:t>
            </w:r>
          </w:p>
        </w:tc>
        <w:tc>
          <w:tcPr>
            <w:tcW w:w="8613" w:type="dxa"/>
            <w:gridSpan w:val="5"/>
            <w:vAlign w:val="center"/>
          </w:tcPr>
          <w:p w14:paraId="11AEEC8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p>
        </w:tc>
      </w:tr>
      <w:tr w14:paraId="1172DA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46" w:hRule="atLeast"/>
        </w:trPr>
        <w:tc>
          <w:tcPr>
            <w:tcW w:w="10064" w:type="dxa"/>
            <w:gridSpan w:val="6"/>
            <w:vAlign w:val="center"/>
          </w:tcPr>
          <w:p w14:paraId="03DB37E6">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p>
          <w:p w14:paraId="5C2D6AA0">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r>
              <w:rPr>
                <w:rFonts w:hint="eastAsia" w:ascii="仿宋" w:hAnsi="仿宋" w:eastAsia="仿宋" w:cs="仿宋"/>
                <w:sz w:val="24"/>
                <w:highlight w:val="none"/>
              </w:rPr>
              <w:t>投标单位：（</w:t>
            </w:r>
            <w:r>
              <w:rPr>
                <w:rFonts w:hint="eastAsia" w:ascii="仿宋" w:hAnsi="仿宋" w:eastAsia="仿宋" w:cs="仿宋"/>
                <w:sz w:val="24"/>
                <w:szCs w:val="24"/>
                <w:highlight w:val="none"/>
              </w:rPr>
              <w:t>盖章）：</w:t>
            </w:r>
            <w:r>
              <w:rPr>
                <w:rFonts w:hint="eastAsia" w:ascii="仿宋" w:hAnsi="仿宋" w:eastAsia="仿宋" w:cs="仿宋"/>
                <w:sz w:val="24"/>
                <w:szCs w:val="24"/>
                <w:highlight w:val="none"/>
                <w:u w:val="single"/>
              </w:rPr>
              <w:t>　　　　　　　　　　　　</w:t>
            </w:r>
          </w:p>
          <w:p w14:paraId="5708C271">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p>
          <w:p w14:paraId="468FE6B0">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法定代表人或其委托代理人（签名或盖章）：</w:t>
            </w:r>
            <w:r>
              <w:rPr>
                <w:rFonts w:hint="eastAsia" w:ascii="仿宋" w:hAnsi="仿宋" w:eastAsia="仿宋" w:cs="仿宋"/>
                <w:sz w:val="24"/>
                <w:szCs w:val="24"/>
                <w:highlight w:val="none"/>
                <w:u w:val="single"/>
              </w:rPr>
              <w:t>　　　　　　　　　　</w:t>
            </w:r>
          </w:p>
          <w:p w14:paraId="7E98D090">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p>
          <w:p w14:paraId="1BBA5327">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sz w:val="24"/>
                <w:szCs w:val="24"/>
                <w:highlight w:val="none"/>
                <w:u w:val="single"/>
              </w:rPr>
              <w:t>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w:t>
            </w:r>
            <w:r>
              <w:rPr>
                <w:rFonts w:hint="eastAsia" w:ascii="仿宋" w:hAnsi="仿宋" w:eastAsia="仿宋" w:cs="仿宋"/>
                <w:sz w:val="24"/>
                <w:szCs w:val="24"/>
                <w:highlight w:val="none"/>
              </w:rPr>
              <w:t>日</w:t>
            </w:r>
          </w:p>
          <w:p w14:paraId="5F2BF998">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p>
        </w:tc>
      </w:tr>
    </w:tbl>
    <w:p w14:paraId="443A75E9">
      <w:pPr>
        <w:keepNext w:val="0"/>
        <w:keepLines w:val="0"/>
        <w:pageBreakBefore w:val="0"/>
        <w:numPr>
          <w:ilvl w:val="-1"/>
          <w:numId w:val="0"/>
        </w:numPr>
        <w:shd w:val="clear"/>
        <w:kinsoku/>
        <w:wordWrap/>
        <w:overflowPunct/>
        <w:topLinePunct w:val="0"/>
        <w:autoSpaceDE/>
        <w:autoSpaceDN w:val="0"/>
        <w:bidi w:val="0"/>
        <w:adjustRightInd/>
        <w:snapToGrid/>
        <w:spacing w:before="160" w:after="160" w:line="360" w:lineRule="auto"/>
        <w:textAlignment w:val="auto"/>
        <w:rPr>
          <w:rFonts w:hint="eastAsia" w:ascii="仿宋" w:hAnsi="仿宋" w:eastAsia="仿宋" w:cs="仿宋"/>
          <w:sz w:val="24"/>
          <w:szCs w:val="24"/>
          <w:highlight w:val="none"/>
        </w:rPr>
      </w:pPr>
      <w:bookmarkStart w:id="206" w:name="_Toc28805"/>
      <w:r>
        <w:rPr>
          <w:rFonts w:hint="eastAsia" w:ascii="仿宋" w:hAnsi="仿宋" w:eastAsia="仿宋" w:cs="仿宋"/>
          <w:sz w:val="24"/>
          <w:szCs w:val="24"/>
          <w:highlight w:val="none"/>
        </w:rPr>
        <w:t>注：</w:t>
      </w:r>
    </w:p>
    <w:p w14:paraId="542BE275">
      <w:pPr>
        <w:keepNext w:val="0"/>
        <w:keepLines w:val="0"/>
        <w:pageBreakBefore w:val="0"/>
        <w:numPr>
          <w:ilvl w:val="0"/>
          <w:numId w:val="35"/>
        </w:numPr>
        <w:shd w:val="clear"/>
        <w:kinsoku/>
        <w:wordWrap/>
        <w:overflowPunct/>
        <w:topLinePunct w:val="0"/>
        <w:autoSpaceDE/>
        <w:autoSpaceDN w:val="0"/>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报价应包括文件所确定的采购范围内的全部费用</w:t>
      </w:r>
      <w:r>
        <w:rPr>
          <w:rFonts w:hint="eastAsia" w:ascii="仿宋" w:hAnsi="仿宋" w:eastAsia="仿宋" w:cs="仿宋"/>
          <w:sz w:val="24"/>
          <w:szCs w:val="24"/>
          <w:highlight w:val="none"/>
          <w:lang w:eastAsia="zh-CN"/>
        </w:rPr>
        <w:t>；</w:t>
      </w:r>
    </w:p>
    <w:p w14:paraId="06C9BF4A">
      <w:pPr>
        <w:keepNext w:val="0"/>
        <w:keepLines w:val="0"/>
        <w:pageBreakBefore w:val="0"/>
        <w:numPr>
          <w:ilvl w:val="0"/>
          <w:numId w:val="35"/>
        </w:numPr>
        <w:shd w:val="clear"/>
        <w:kinsoku/>
        <w:wordWrap/>
        <w:overflowPunct/>
        <w:topLinePunct w:val="0"/>
        <w:autoSpaceDE/>
        <w:autoSpaceDN w:val="0"/>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本表格式不得自行修改，否则为无效报价；</w:t>
      </w:r>
    </w:p>
    <w:p w14:paraId="6BDD584D">
      <w:pPr>
        <w:keepNext w:val="0"/>
        <w:keepLines w:val="0"/>
        <w:pageBreakBefore w:val="0"/>
        <w:numPr>
          <w:ilvl w:val="0"/>
          <w:numId w:val="35"/>
        </w:numPr>
        <w:shd w:val="clear"/>
        <w:kinsoku/>
        <w:wordWrap/>
        <w:overflowPunct/>
        <w:topLinePunct w:val="0"/>
        <w:autoSpaceDE/>
        <w:autoSpaceDN w:val="0"/>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highlight w:val="none"/>
        </w:rPr>
        <w:t>本项目允许分系统中标，请务必分开填报，合并报价视为对分授标规则无异议</w:t>
      </w:r>
      <w:r>
        <w:rPr>
          <w:rFonts w:hint="eastAsia" w:ascii="仿宋" w:hAnsi="仿宋" w:eastAsia="仿宋" w:cs="仿宋"/>
          <w:sz w:val="24"/>
          <w:highlight w:val="none"/>
          <w:lang w:eastAsia="zh-CN"/>
        </w:rPr>
        <w:t>；</w:t>
      </w:r>
    </w:p>
    <w:p w14:paraId="180A6C0C">
      <w:pPr>
        <w:keepNext w:val="0"/>
        <w:keepLines w:val="0"/>
        <w:pageBreakBefore w:val="0"/>
        <w:numPr>
          <w:ilvl w:val="0"/>
          <w:numId w:val="35"/>
        </w:numPr>
        <w:shd w:val="clear"/>
        <w:kinsoku/>
        <w:wordWrap/>
        <w:overflowPunct/>
        <w:topLinePunct w:val="0"/>
        <w:autoSpaceDE/>
        <w:autoSpaceDN w:val="0"/>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报价为总包干价，包含除HIS接口费外的所有费用（含软件开发、系统对接、现场部署、操作培训、运维服务及各项税费等），项目实施期间不再产生任何其他费用。 </w:t>
      </w:r>
    </w:p>
    <w:p w14:paraId="3917569E">
      <w:pPr>
        <w:shd w:val="clear"/>
        <w:rPr>
          <w:rFonts w:hint="eastAsia" w:ascii="仿宋" w:hAnsi="仿宋" w:eastAsia="仿宋" w:cs="仿宋"/>
          <w:kern w:val="2"/>
          <w:sz w:val="21"/>
          <w:szCs w:val="24"/>
          <w:highlight w:val="none"/>
          <w:lang w:val="en-US" w:eastAsia="zh-CN" w:bidi="ar-SA"/>
        </w:rPr>
      </w:pPr>
    </w:p>
    <w:p w14:paraId="165780C3">
      <w:pPr>
        <w:shd w:val="clear"/>
        <w:rPr>
          <w:rFonts w:hint="eastAsia" w:ascii="仿宋" w:hAnsi="仿宋" w:eastAsia="仿宋" w:cs="仿宋"/>
          <w:highlight w:val="none"/>
        </w:rPr>
        <w:sectPr>
          <w:footerReference r:id="rId5" w:type="default"/>
          <w:pgSz w:w="11906" w:h="16838"/>
          <w:pgMar w:top="1701" w:right="1418" w:bottom="1134" w:left="1418" w:header="851" w:footer="992" w:gutter="0"/>
          <w:pgNumType w:fmt="upperRoman" w:start="1"/>
          <w:cols w:space="720" w:num="1"/>
          <w:docGrid w:linePitch="312" w:charSpace="0"/>
        </w:sectPr>
      </w:pPr>
      <w:r>
        <w:rPr>
          <w:rFonts w:hint="eastAsia" w:ascii="仿宋" w:hAnsi="仿宋" w:eastAsia="仿宋" w:cs="仿宋"/>
          <w:kern w:val="2"/>
          <w:sz w:val="21"/>
          <w:szCs w:val="24"/>
          <w:highlight w:val="none"/>
          <w:lang w:val="en-US" w:eastAsia="zh-CN" w:bidi="ar-SA"/>
        </w:rPr>
        <w:br w:type="page"/>
      </w:r>
      <w:bookmarkEnd w:id="206"/>
      <w:bookmarkStart w:id="207" w:name="_Toc9522"/>
      <w:bookmarkStart w:id="208" w:name="_Toc3084"/>
    </w:p>
    <w:p w14:paraId="746FB70D">
      <w:pPr>
        <w:shd w:val="clear"/>
        <w:spacing w:line="360" w:lineRule="auto"/>
        <w:jc w:val="center"/>
        <w:rPr>
          <w:rFonts w:hint="eastAsia" w:ascii="仿宋" w:hAnsi="仿宋" w:eastAsia="仿宋" w:cs="仿宋"/>
          <w:sz w:val="28"/>
          <w:szCs w:val="28"/>
          <w:highlight w:val="none"/>
          <w:shd w:val="clear" w:color="auto" w:fill="FFFFFF"/>
          <w:lang w:eastAsia="zh-CN"/>
        </w:rPr>
      </w:pPr>
      <w:r>
        <w:rPr>
          <w:rFonts w:hint="eastAsia" w:ascii="仿宋" w:hAnsi="仿宋" w:eastAsia="仿宋" w:cs="仿宋"/>
          <w:sz w:val="28"/>
          <w:szCs w:val="28"/>
          <w:highlight w:val="none"/>
          <w:shd w:val="clear" w:color="auto" w:fill="FFFFFF"/>
          <w:lang w:val="en-US" w:eastAsia="zh-CN"/>
        </w:rPr>
        <w:t>《</w:t>
      </w:r>
      <w:r>
        <w:rPr>
          <w:rFonts w:hint="eastAsia" w:ascii="仿宋" w:hAnsi="仿宋" w:eastAsia="仿宋" w:cs="仿宋"/>
          <w:sz w:val="28"/>
          <w:szCs w:val="28"/>
          <w:highlight w:val="none"/>
          <w:shd w:val="clear" w:color="auto" w:fill="FFFFFF"/>
        </w:rPr>
        <w:t>分项报价表</w:t>
      </w:r>
      <w:r>
        <w:rPr>
          <w:rFonts w:hint="eastAsia" w:ascii="仿宋" w:hAnsi="仿宋" w:eastAsia="仿宋" w:cs="仿宋"/>
          <w:sz w:val="28"/>
          <w:szCs w:val="28"/>
          <w:highlight w:val="none"/>
          <w:shd w:val="clear" w:color="auto" w:fill="FFFFFF"/>
          <w:lang w:val="en-US" w:eastAsia="zh-CN"/>
        </w:rPr>
        <w:t>》</w:t>
      </w:r>
      <w:r>
        <w:rPr>
          <w:rFonts w:hint="eastAsia" w:ascii="仿宋" w:hAnsi="仿宋" w:eastAsia="仿宋" w:cs="仿宋"/>
          <w:sz w:val="28"/>
          <w:szCs w:val="28"/>
          <w:highlight w:val="none"/>
          <w:shd w:val="clear" w:color="auto" w:fill="FFFFFF"/>
        </w:rPr>
        <w:t>(单独将此表以excel形式附在电子投标文件内）</w:t>
      </w:r>
    </w:p>
    <w:tbl>
      <w:tblPr>
        <w:tblStyle w:val="19"/>
        <w:tblW w:w="1411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2355"/>
        <w:gridCol w:w="3450"/>
        <w:gridCol w:w="525"/>
        <w:gridCol w:w="525"/>
        <w:gridCol w:w="1995"/>
        <w:gridCol w:w="1200"/>
        <w:gridCol w:w="525"/>
        <w:gridCol w:w="1200"/>
        <w:gridCol w:w="1680"/>
        <w:gridCol w:w="131"/>
      </w:tblGrid>
      <w:tr w14:paraId="2A5DF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91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医院需求</w:t>
            </w:r>
          </w:p>
        </w:tc>
        <w:tc>
          <w:tcPr>
            <w:tcW w:w="11231"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9B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投标人</w:t>
            </w:r>
          </w:p>
        </w:tc>
      </w:tr>
      <w:tr w14:paraId="2D111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FA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序号</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E97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医院需求</w:t>
            </w: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46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名称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AA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14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单位</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EF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具体参数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E6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单价（元）</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DD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合计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9D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免费维护期/质保期（年）</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98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出维护期后费用</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年运维费/维保费（元/年）</w:t>
            </w:r>
          </w:p>
        </w:tc>
      </w:tr>
      <w:tr w14:paraId="4058A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96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B6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7B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医保智能审核管理系统</w:t>
            </w:r>
          </w:p>
        </w:tc>
        <w:tc>
          <w:tcPr>
            <w:tcW w:w="3450" w:type="dxa"/>
            <w:vMerge w:val="restart"/>
            <w:tcBorders>
              <w:top w:val="single" w:color="000000" w:sz="4" w:space="0"/>
              <w:left w:val="single" w:color="000000" w:sz="4" w:space="0"/>
              <w:bottom w:val="nil"/>
              <w:right w:val="single" w:color="000000" w:sz="4" w:space="0"/>
            </w:tcBorders>
            <w:shd w:val="clear" w:color="auto" w:fill="auto"/>
            <w:vAlign w:val="center"/>
          </w:tcPr>
          <w:p w14:paraId="287E20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软件（或符合需求的一体化软件）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3E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76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套</w:t>
            </w:r>
          </w:p>
        </w:tc>
        <w:tc>
          <w:tcPr>
            <w:tcW w:w="1995" w:type="dxa"/>
            <w:vMerge w:val="restart"/>
            <w:tcBorders>
              <w:top w:val="single" w:color="000000" w:sz="4" w:space="0"/>
              <w:left w:val="single" w:color="000000" w:sz="4" w:space="0"/>
              <w:bottom w:val="nil"/>
              <w:right w:val="single" w:color="000000" w:sz="4" w:space="0"/>
            </w:tcBorders>
            <w:shd w:val="clear" w:color="auto" w:fill="auto"/>
            <w:vAlign w:val="center"/>
          </w:tcPr>
          <w:p w14:paraId="08ECCA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详见2系统建设内容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FB7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68C83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0AC1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5C5E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325B4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96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BB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01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DRG精细化管理系统</w:t>
            </w:r>
          </w:p>
        </w:tc>
        <w:tc>
          <w:tcPr>
            <w:tcW w:w="3450" w:type="dxa"/>
            <w:vMerge w:val="continue"/>
            <w:tcBorders>
              <w:top w:val="single" w:color="000000" w:sz="4" w:space="0"/>
              <w:left w:val="single" w:color="000000" w:sz="4" w:space="0"/>
              <w:bottom w:val="nil"/>
              <w:right w:val="single" w:color="000000" w:sz="4" w:space="0"/>
            </w:tcBorders>
            <w:shd w:val="clear" w:color="auto" w:fill="auto"/>
            <w:vAlign w:val="center"/>
          </w:tcPr>
          <w:p w14:paraId="3FD47EC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FD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79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套</w:t>
            </w:r>
          </w:p>
        </w:tc>
        <w:tc>
          <w:tcPr>
            <w:tcW w:w="1995" w:type="dxa"/>
            <w:vMerge w:val="continue"/>
            <w:tcBorders>
              <w:top w:val="single" w:color="000000" w:sz="4" w:space="0"/>
              <w:left w:val="single" w:color="000000" w:sz="4" w:space="0"/>
              <w:bottom w:val="nil"/>
              <w:right w:val="single" w:color="000000" w:sz="4" w:space="0"/>
            </w:tcBorders>
            <w:shd w:val="clear" w:color="auto" w:fill="auto"/>
            <w:vAlign w:val="center"/>
          </w:tcPr>
          <w:p w14:paraId="043D8A0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98D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726E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7550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7BF2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highlight w:val="none"/>
                <w:u w:val="none"/>
              </w:rPr>
            </w:pPr>
          </w:p>
        </w:tc>
      </w:tr>
      <w:tr w14:paraId="187B2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630" w:hRule="atLeast"/>
        </w:trPr>
        <w:tc>
          <w:tcPr>
            <w:tcW w:w="937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C8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合计：</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CC9E6">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000000"/>
                <w:sz w:val="22"/>
                <w:szCs w:val="22"/>
                <w:highlight w:val="none"/>
                <w:u w:val="none"/>
              </w:rPr>
            </w:pPr>
          </w:p>
        </w:tc>
      </w:tr>
      <w:tr w14:paraId="399F7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270" w:hRule="atLeast"/>
        </w:trPr>
        <w:tc>
          <w:tcPr>
            <w:tcW w:w="2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07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备注：</w:t>
            </w:r>
          </w:p>
        </w:tc>
        <w:tc>
          <w:tcPr>
            <w:tcW w:w="1110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FC52">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000000"/>
                <w:sz w:val="22"/>
                <w:szCs w:val="22"/>
                <w:highlight w:val="none"/>
                <w:u w:val="none"/>
              </w:rPr>
            </w:pPr>
          </w:p>
        </w:tc>
      </w:tr>
    </w:tbl>
    <w:p w14:paraId="6375417A">
      <w:pPr>
        <w:shd w:val="clear"/>
        <w:spacing w:line="360" w:lineRule="auto"/>
        <w:jc w:val="both"/>
        <w:rPr>
          <w:rFonts w:hint="eastAsia" w:ascii="仿宋" w:hAnsi="仿宋" w:eastAsia="仿宋" w:cs="仿宋"/>
          <w:sz w:val="28"/>
          <w:szCs w:val="28"/>
          <w:highlight w:val="none"/>
          <w:shd w:val="clear" w:color="auto" w:fill="FFFFFF"/>
          <w:lang w:eastAsia="zh-CN"/>
        </w:rPr>
      </w:pPr>
      <w:r>
        <w:rPr>
          <w:rFonts w:hint="eastAsia" w:ascii="仿宋" w:hAnsi="仿宋" w:eastAsia="仿宋" w:cs="仿宋"/>
          <w:sz w:val="28"/>
          <w:szCs w:val="28"/>
          <w:highlight w:val="none"/>
          <w:shd w:val="clear" w:color="auto" w:fill="FFFFFF"/>
        </w:rPr>
        <w:pict>
          <v:shape id="_x0000_s2056" o:spid="_x0000_s2056" o:spt="75" type="#_x0000_t75" style="position:absolute;left:0pt;margin-left:561.95pt;margin-top:23.4pt;height:66pt;width:72.75pt;z-index:251660288;mso-width-relative:page;mso-height-relative:page;" o:ole="t" filled="f" o:preferrelative="t" stroked="f" coordsize="21600,21600">
            <v:path/>
            <v:fill on="f" focussize="0,0"/>
            <v:stroke on="f"/>
            <v:imagedata r:id="rId10" o:title=""/>
            <o:lock v:ext="edit" aspectratio="t"/>
          </v:shape>
          <o:OLEObject Type="Embed" ProgID="Excel.Sheet.12" ShapeID="_x0000_s2056" DrawAspect="Icon" ObjectID="_1468075725" r:id="rId9">
            <o:LockedField>false</o:LockedField>
          </o:OLEObject>
        </w:pict>
      </w:r>
    </w:p>
    <w:p w14:paraId="109896FC">
      <w:pPr>
        <w:shd w:val="clear"/>
        <w:rPr>
          <w:rFonts w:hint="eastAsia" w:ascii="仿宋" w:hAnsi="仿宋" w:eastAsia="仿宋" w:cs="仿宋"/>
          <w:highlight w:val="none"/>
        </w:rPr>
      </w:pPr>
    </w:p>
    <w:p w14:paraId="3918B372">
      <w:pPr>
        <w:shd w:val="clear"/>
        <w:rPr>
          <w:rFonts w:hint="eastAsia" w:ascii="仿宋" w:hAnsi="仿宋" w:eastAsia="仿宋" w:cs="仿宋"/>
          <w:highlight w:val="none"/>
        </w:rPr>
        <w:sectPr>
          <w:pgSz w:w="16838" w:h="11906" w:orient="landscape"/>
          <w:pgMar w:top="1418" w:right="1701" w:bottom="1418" w:left="1134" w:header="851" w:footer="992" w:gutter="0"/>
          <w:pgNumType w:fmt="upperRoman" w:start="1"/>
          <w:cols w:space="720" w:num="1"/>
          <w:docGrid w:linePitch="312" w:charSpace="0"/>
        </w:sectPr>
      </w:pPr>
    </w:p>
    <w:p w14:paraId="225A0867">
      <w:pPr>
        <w:pStyle w:val="3"/>
        <w:shd w:val="clear"/>
        <w:rPr>
          <w:rFonts w:hint="eastAsia" w:ascii="仿宋" w:hAnsi="仿宋" w:eastAsia="仿宋" w:cs="仿宋"/>
          <w:highlight w:val="none"/>
        </w:rPr>
      </w:pPr>
      <w:bookmarkStart w:id="209" w:name="_Toc8457"/>
      <w:bookmarkStart w:id="210" w:name="_Toc23112"/>
      <w:bookmarkStart w:id="211" w:name="_Toc19743"/>
      <w:bookmarkStart w:id="212" w:name="_Toc23743"/>
      <w:bookmarkStart w:id="213" w:name="_Toc26151"/>
      <w:r>
        <w:rPr>
          <w:rFonts w:hint="eastAsia" w:ascii="仿宋" w:hAnsi="仿宋" w:eastAsia="仿宋" w:cs="仿宋"/>
          <w:highlight w:val="none"/>
        </w:rPr>
        <w:t>附件</w:t>
      </w:r>
      <w:r>
        <w:rPr>
          <w:rFonts w:hint="eastAsia" w:ascii="仿宋" w:hAnsi="仿宋" w:eastAsia="仿宋" w:cs="仿宋"/>
          <w:highlight w:val="none"/>
          <w:lang w:val="en-US" w:eastAsia="zh-CN"/>
        </w:rPr>
        <w:t>6</w:t>
      </w:r>
      <w:r>
        <w:rPr>
          <w:rFonts w:hint="eastAsia" w:ascii="仿宋" w:hAnsi="仿宋" w:eastAsia="仿宋" w:cs="仿宋"/>
          <w:highlight w:val="none"/>
        </w:rPr>
        <w:t>：技术规格偏离表</w:t>
      </w:r>
      <w:bookmarkEnd w:id="209"/>
      <w:bookmarkEnd w:id="210"/>
      <w:bookmarkEnd w:id="211"/>
      <w:bookmarkEnd w:id="212"/>
      <w:bookmarkEnd w:id="213"/>
    </w:p>
    <w:p w14:paraId="78BC3289">
      <w:pPr>
        <w:shd w:val="clear"/>
        <w:spacing w:line="360" w:lineRule="auto"/>
        <w:jc w:val="center"/>
        <w:rPr>
          <w:rFonts w:hint="eastAsia" w:ascii="仿宋" w:hAnsi="仿宋" w:eastAsia="仿宋" w:cs="仿宋"/>
          <w:sz w:val="28"/>
          <w:szCs w:val="28"/>
          <w:highlight w:val="none"/>
          <w:shd w:val="clear" w:color="auto" w:fill="FFFFFF"/>
          <w:lang w:eastAsia="zh-CN"/>
        </w:rPr>
      </w:pPr>
      <w:r>
        <w:rPr>
          <w:rFonts w:hint="eastAsia" w:ascii="仿宋" w:hAnsi="仿宋" w:eastAsia="仿宋" w:cs="仿宋"/>
          <w:sz w:val="28"/>
          <w:szCs w:val="28"/>
          <w:highlight w:val="none"/>
          <w:shd w:val="clear" w:color="auto" w:fill="FFFFFF"/>
          <w:lang w:val="en-US" w:eastAsia="zh-CN"/>
        </w:rPr>
        <w:t>《</w:t>
      </w:r>
      <w:r>
        <w:rPr>
          <w:rFonts w:hint="eastAsia" w:ascii="仿宋" w:hAnsi="仿宋" w:eastAsia="仿宋" w:cs="仿宋"/>
          <w:sz w:val="28"/>
          <w:szCs w:val="28"/>
          <w:highlight w:val="none"/>
          <w:shd w:val="clear" w:color="auto" w:fill="FFFFFF"/>
          <w:lang w:eastAsia="zh-CN"/>
        </w:rPr>
        <w:t>技术规格偏离表</w:t>
      </w:r>
      <w:r>
        <w:rPr>
          <w:rFonts w:hint="eastAsia" w:ascii="仿宋" w:hAnsi="仿宋" w:eastAsia="仿宋" w:cs="仿宋"/>
          <w:sz w:val="28"/>
          <w:szCs w:val="28"/>
          <w:highlight w:val="none"/>
          <w:shd w:val="clear" w:color="auto" w:fill="FFFFFF"/>
          <w:lang w:val="en-US" w:eastAsia="zh-CN"/>
        </w:rPr>
        <w:t>》</w:t>
      </w:r>
    </w:p>
    <w:p w14:paraId="47B27B4F">
      <w:pPr>
        <w:shd w:val="clear"/>
        <w:rPr>
          <w:rFonts w:hint="eastAsia" w:ascii="仿宋" w:hAnsi="仿宋" w:eastAsia="仿宋" w:cs="仿宋"/>
          <w:highlight w:val="none"/>
        </w:rPr>
      </w:pPr>
    </w:p>
    <w:p w14:paraId="2996AB1C">
      <w:pPr>
        <w:shd w:val="clear"/>
        <w:spacing w:line="360" w:lineRule="auto"/>
        <w:rPr>
          <w:rFonts w:hint="eastAsia" w:ascii="仿宋" w:hAnsi="仿宋" w:eastAsia="仿宋" w:cs="仿宋"/>
          <w:spacing w:val="6"/>
          <w:sz w:val="24"/>
          <w:szCs w:val="24"/>
          <w:highlight w:val="none"/>
          <w:u w:val="single"/>
        </w:rPr>
      </w:pPr>
      <w:r>
        <w:rPr>
          <w:rFonts w:hint="eastAsia" w:ascii="仿宋" w:hAnsi="仿宋" w:eastAsia="仿宋" w:cs="仿宋"/>
          <w:spacing w:val="6"/>
          <w:sz w:val="24"/>
          <w:szCs w:val="24"/>
          <w:highlight w:val="none"/>
        </w:rPr>
        <w:t>投标人名称：</w:t>
      </w:r>
      <w:r>
        <w:rPr>
          <w:rFonts w:hint="eastAsia" w:ascii="仿宋" w:hAnsi="仿宋" w:eastAsia="仿宋" w:cs="仿宋"/>
          <w:spacing w:val="6"/>
          <w:sz w:val="24"/>
          <w:szCs w:val="24"/>
          <w:highlight w:val="none"/>
          <w:u w:val="single"/>
        </w:rPr>
        <w:t xml:space="preserve">              </w:t>
      </w:r>
    </w:p>
    <w:tbl>
      <w:tblPr>
        <w:tblStyle w:val="19"/>
        <w:tblW w:w="9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192"/>
        <w:gridCol w:w="2532"/>
        <w:gridCol w:w="2222"/>
        <w:gridCol w:w="1596"/>
        <w:gridCol w:w="1118"/>
      </w:tblGrid>
      <w:tr w14:paraId="279A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Align w:val="center"/>
          </w:tcPr>
          <w:p w14:paraId="60C3430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79" w:lineRule="auto"/>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序号</w:t>
            </w:r>
          </w:p>
        </w:tc>
        <w:tc>
          <w:tcPr>
            <w:tcW w:w="1192" w:type="dxa"/>
          </w:tcPr>
          <w:p w14:paraId="7324622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79" w:lineRule="auto"/>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招标要求编号</w:t>
            </w:r>
          </w:p>
        </w:tc>
        <w:tc>
          <w:tcPr>
            <w:tcW w:w="2532" w:type="dxa"/>
            <w:vAlign w:val="center"/>
          </w:tcPr>
          <w:p w14:paraId="6E01D03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79" w:lineRule="auto"/>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招标文件的条款</w:t>
            </w:r>
          </w:p>
        </w:tc>
        <w:tc>
          <w:tcPr>
            <w:tcW w:w="2222" w:type="dxa"/>
            <w:vAlign w:val="center"/>
          </w:tcPr>
          <w:p w14:paraId="5D7B210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79" w:lineRule="auto"/>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投标文件的条款</w:t>
            </w:r>
          </w:p>
        </w:tc>
        <w:tc>
          <w:tcPr>
            <w:tcW w:w="1596" w:type="dxa"/>
            <w:vAlign w:val="center"/>
          </w:tcPr>
          <w:p w14:paraId="11DF29E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79" w:lineRule="auto"/>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偏离情况</w:t>
            </w:r>
          </w:p>
        </w:tc>
        <w:tc>
          <w:tcPr>
            <w:tcW w:w="1118" w:type="dxa"/>
            <w:vAlign w:val="center"/>
          </w:tcPr>
          <w:p w14:paraId="5BCACC8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79" w:lineRule="auto"/>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备注</w:t>
            </w:r>
          </w:p>
        </w:tc>
      </w:tr>
      <w:tr w14:paraId="4367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Align w:val="center"/>
          </w:tcPr>
          <w:p w14:paraId="74052660">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92" w:type="dxa"/>
          </w:tcPr>
          <w:p w14:paraId="293F411F">
            <w:pPr>
              <w:keepNext w:val="0"/>
              <w:keepLines w:val="0"/>
              <w:suppressLineNumbers w:val="0"/>
              <w:shd w:val="clear"/>
              <w:snapToGrid w:val="0"/>
              <w:spacing w:before="0" w:beforeAutospacing="0" w:after="0" w:afterAutospacing="0" w:line="400" w:lineRule="exact"/>
              <w:ind w:left="0" w:right="0"/>
              <w:jc w:val="center"/>
              <w:rPr>
                <w:rFonts w:hint="eastAsia" w:ascii="仿宋" w:hAnsi="仿宋" w:eastAsia="仿宋" w:cs="仿宋"/>
                <w:spacing w:val="6"/>
                <w:sz w:val="24"/>
                <w:szCs w:val="24"/>
                <w:highlight w:val="none"/>
              </w:rPr>
            </w:pPr>
          </w:p>
        </w:tc>
        <w:tc>
          <w:tcPr>
            <w:tcW w:w="2532" w:type="dxa"/>
            <w:vAlign w:val="center"/>
          </w:tcPr>
          <w:p w14:paraId="780B32C2">
            <w:pPr>
              <w:keepNext w:val="0"/>
              <w:keepLines w:val="0"/>
              <w:suppressLineNumbers w:val="0"/>
              <w:shd w:val="clear"/>
              <w:snapToGrid w:val="0"/>
              <w:spacing w:before="0" w:beforeAutospacing="0" w:after="0" w:afterAutospacing="0" w:line="400" w:lineRule="exact"/>
              <w:ind w:left="0" w:right="0"/>
              <w:jc w:val="center"/>
              <w:rPr>
                <w:rFonts w:hint="eastAsia" w:ascii="仿宋" w:hAnsi="仿宋" w:eastAsia="仿宋" w:cs="仿宋"/>
                <w:spacing w:val="6"/>
                <w:sz w:val="24"/>
                <w:szCs w:val="24"/>
                <w:highlight w:val="none"/>
              </w:rPr>
            </w:pPr>
          </w:p>
        </w:tc>
        <w:tc>
          <w:tcPr>
            <w:tcW w:w="2222" w:type="dxa"/>
            <w:vAlign w:val="center"/>
          </w:tcPr>
          <w:p w14:paraId="6F688888">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596" w:type="dxa"/>
            <w:vAlign w:val="center"/>
          </w:tcPr>
          <w:p w14:paraId="4D37E873">
            <w:pPr>
              <w:keepNext w:val="0"/>
              <w:keepLines w:val="0"/>
              <w:suppressLineNumbers w:val="0"/>
              <w:shd w:val="clear"/>
              <w:snapToGrid w:val="0"/>
              <w:spacing w:before="0" w:beforeAutospacing="0" w:after="0" w:afterAutospacing="0" w:line="400" w:lineRule="exact"/>
              <w:ind w:left="0" w:right="0"/>
              <w:jc w:val="center"/>
              <w:rPr>
                <w:rFonts w:hint="eastAsia" w:ascii="仿宋" w:hAnsi="仿宋" w:eastAsia="仿宋" w:cs="仿宋"/>
                <w:spacing w:val="6"/>
                <w:sz w:val="24"/>
                <w:szCs w:val="24"/>
                <w:highlight w:val="none"/>
              </w:rPr>
            </w:pPr>
          </w:p>
        </w:tc>
        <w:tc>
          <w:tcPr>
            <w:tcW w:w="1118" w:type="dxa"/>
            <w:vAlign w:val="center"/>
          </w:tcPr>
          <w:p w14:paraId="76C06435">
            <w:pPr>
              <w:keepNext w:val="0"/>
              <w:keepLines w:val="0"/>
              <w:suppressLineNumbers w:val="0"/>
              <w:shd w:val="clear"/>
              <w:snapToGrid w:val="0"/>
              <w:spacing w:before="0" w:beforeAutospacing="0" w:after="0" w:afterAutospacing="0" w:line="400" w:lineRule="exact"/>
              <w:ind w:left="0" w:right="0"/>
              <w:jc w:val="center"/>
              <w:rPr>
                <w:rFonts w:hint="eastAsia" w:ascii="仿宋" w:hAnsi="仿宋" w:eastAsia="仿宋" w:cs="仿宋"/>
                <w:spacing w:val="6"/>
                <w:sz w:val="24"/>
                <w:szCs w:val="24"/>
                <w:highlight w:val="none"/>
              </w:rPr>
            </w:pPr>
          </w:p>
        </w:tc>
      </w:tr>
      <w:tr w14:paraId="5ECC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Align w:val="center"/>
          </w:tcPr>
          <w:p w14:paraId="299752C4">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92" w:type="dxa"/>
          </w:tcPr>
          <w:p w14:paraId="16453F7B">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2532" w:type="dxa"/>
            <w:vAlign w:val="center"/>
          </w:tcPr>
          <w:p w14:paraId="28EE752B">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2222" w:type="dxa"/>
            <w:vAlign w:val="center"/>
          </w:tcPr>
          <w:p w14:paraId="75D028E2">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596" w:type="dxa"/>
            <w:vAlign w:val="center"/>
          </w:tcPr>
          <w:p w14:paraId="70EC2A2B">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18" w:type="dxa"/>
            <w:vAlign w:val="center"/>
          </w:tcPr>
          <w:p w14:paraId="79D9C4DE">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r>
      <w:tr w14:paraId="48C0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Align w:val="center"/>
          </w:tcPr>
          <w:p w14:paraId="6B9EF23A">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92" w:type="dxa"/>
          </w:tcPr>
          <w:p w14:paraId="6D925B5D">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2532" w:type="dxa"/>
            <w:vAlign w:val="center"/>
          </w:tcPr>
          <w:p w14:paraId="72F0EA07">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2222" w:type="dxa"/>
            <w:vAlign w:val="center"/>
          </w:tcPr>
          <w:p w14:paraId="30FA0056">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596" w:type="dxa"/>
            <w:vAlign w:val="center"/>
          </w:tcPr>
          <w:p w14:paraId="17B99A1E">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18" w:type="dxa"/>
            <w:vAlign w:val="center"/>
          </w:tcPr>
          <w:p w14:paraId="122AB7EC">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r>
      <w:tr w14:paraId="611F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Align w:val="center"/>
          </w:tcPr>
          <w:p w14:paraId="069AA3F4">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92" w:type="dxa"/>
          </w:tcPr>
          <w:p w14:paraId="5BE37B13">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2532" w:type="dxa"/>
            <w:vAlign w:val="center"/>
          </w:tcPr>
          <w:p w14:paraId="7F726FF0">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2222" w:type="dxa"/>
            <w:vAlign w:val="center"/>
          </w:tcPr>
          <w:p w14:paraId="689416C8">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596" w:type="dxa"/>
            <w:vAlign w:val="center"/>
          </w:tcPr>
          <w:p w14:paraId="7D7E5F24">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18" w:type="dxa"/>
            <w:vAlign w:val="center"/>
          </w:tcPr>
          <w:p w14:paraId="74029A90">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r>
    </w:tbl>
    <w:p w14:paraId="545C1F24">
      <w:pPr>
        <w:shd w:val="clear"/>
        <w:spacing w:line="360" w:lineRule="auto"/>
        <w:rPr>
          <w:rFonts w:hint="eastAsia" w:ascii="仿宋" w:hAnsi="仿宋" w:eastAsia="仿宋" w:cs="仿宋"/>
          <w:sz w:val="24"/>
          <w:szCs w:val="24"/>
          <w:highlight w:val="none"/>
        </w:rPr>
      </w:pPr>
    </w:p>
    <w:p w14:paraId="67E75248">
      <w:pPr>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填报说明：</w:t>
      </w:r>
    </w:p>
    <w:p w14:paraId="459C375C">
      <w:pPr>
        <w:shd w:val="clear"/>
        <w:spacing w:line="360" w:lineRule="auto"/>
        <w:ind w:left="420"/>
        <w:rPr>
          <w:rFonts w:hint="eastAsia" w:ascii="仿宋" w:hAnsi="仿宋" w:eastAsia="仿宋" w:cs="仿宋"/>
          <w:sz w:val="24"/>
          <w:szCs w:val="24"/>
          <w:highlight w:val="none"/>
        </w:rPr>
      </w:pPr>
      <w:r>
        <w:rPr>
          <w:rFonts w:hint="eastAsia" w:ascii="仿宋" w:hAnsi="仿宋" w:eastAsia="仿宋" w:cs="仿宋"/>
          <w:sz w:val="24"/>
          <w:szCs w:val="24"/>
          <w:highlight w:val="none"/>
        </w:rPr>
        <w:t>1. “投标文件的条款”栏中须逐条填报投标人对招标文件技术条款</w:t>
      </w:r>
      <w:r>
        <w:rPr>
          <w:rFonts w:hint="eastAsia" w:ascii="仿宋" w:hAnsi="仿宋" w:eastAsia="仿宋" w:cs="仿宋"/>
          <w:sz w:val="24"/>
          <w:szCs w:val="24"/>
          <w:highlight w:val="none"/>
          <w:lang w:eastAsia="zh-CN"/>
        </w:rPr>
        <w:t>（第三章技术要求2.系统建设内容）</w:t>
      </w:r>
      <w:r>
        <w:rPr>
          <w:rFonts w:hint="eastAsia" w:ascii="仿宋" w:hAnsi="仿宋" w:eastAsia="仿宋" w:cs="仿宋"/>
          <w:sz w:val="24"/>
          <w:szCs w:val="24"/>
          <w:highlight w:val="none"/>
        </w:rPr>
        <w:t>的具体响应情况，凡在本栏出现遗漏、不填</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未响应</w:t>
      </w:r>
      <w:r>
        <w:rPr>
          <w:rFonts w:hint="eastAsia" w:ascii="仿宋" w:hAnsi="仿宋" w:eastAsia="仿宋" w:cs="仿宋"/>
          <w:sz w:val="24"/>
          <w:szCs w:val="24"/>
          <w:highlight w:val="none"/>
        </w:rPr>
        <w:t>的，均视为</w:t>
      </w:r>
      <w:r>
        <w:rPr>
          <w:rFonts w:hint="eastAsia" w:ascii="仿宋" w:hAnsi="仿宋" w:eastAsia="仿宋" w:cs="仿宋"/>
          <w:spacing w:val="6"/>
          <w:sz w:val="24"/>
          <w:szCs w:val="24"/>
          <w:highlight w:val="none"/>
        </w:rPr>
        <w:t>“负偏离”</w:t>
      </w:r>
      <w:r>
        <w:rPr>
          <w:rFonts w:hint="eastAsia" w:ascii="仿宋" w:hAnsi="仿宋" w:eastAsia="仿宋" w:cs="仿宋"/>
          <w:sz w:val="24"/>
          <w:szCs w:val="24"/>
          <w:highlight w:val="none"/>
        </w:rPr>
        <w:t>。</w:t>
      </w:r>
    </w:p>
    <w:p w14:paraId="45AC5D13">
      <w:pPr>
        <w:shd w:val="clear"/>
        <w:spacing w:line="360" w:lineRule="auto"/>
        <w:ind w:left="420"/>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2. 偏离情况：请填写“无偏离”、“正偏离”或“负偏离”。</w:t>
      </w:r>
    </w:p>
    <w:p w14:paraId="71EB47A5">
      <w:pPr>
        <w:shd w:val="clear"/>
        <w:spacing w:line="360" w:lineRule="auto"/>
        <w:ind w:left="420"/>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3. 备注一栏：请标注对应的页号以便评委查阅。如有正/负偏离则请在备注一栏注明偏离差异说明。</w:t>
      </w:r>
    </w:p>
    <w:p w14:paraId="7906925F">
      <w:pPr>
        <w:shd w:val="clear"/>
        <w:spacing w:line="360" w:lineRule="auto"/>
        <w:ind w:left="420"/>
        <w:rPr>
          <w:rFonts w:hint="eastAsia" w:ascii="仿宋" w:hAnsi="仿宋" w:eastAsia="仿宋" w:cs="仿宋"/>
          <w:spacing w:val="6"/>
          <w:sz w:val="24"/>
          <w:szCs w:val="24"/>
          <w:highlight w:val="none"/>
        </w:rPr>
      </w:pPr>
    </w:p>
    <w:p w14:paraId="3312C47D">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投标人名称：xxxx有限公司（加盖公章）</w:t>
      </w:r>
    </w:p>
    <w:p w14:paraId="2EC6C1A3">
      <w:pPr>
        <w:shd w:val="clear"/>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2E65F384">
      <w:pPr>
        <w:shd w:val="clear"/>
        <w:wordWrap w:val="0"/>
        <w:jc w:val="righ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法定代表人或委托代理人签字：</w:t>
      </w:r>
      <w:r>
        <w:rPr>
          <w:rFonts w:hint="eastAsia" w:ascii="仿宋" w:hAnsi="仿宋" w:eastAsia="仿宋" w:cs="仿宋"/>
          <w:sz w:val="24"/>
          <w:szCs w:val="24"/>
          <w:highlight w:val="none"/>
          <w:lang w:val="en-US" w:eastAsia="zh-CN"/>
        </w:rPr>
        <w:t xml:space="preserve">        </w:t>
      </w:r>
    </w:p>
    <w:p w14:paraId="31F75B54">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7699C584">
      <w:pPr>
        <w:shd w:val="clear"/>
        <w:jc w:val="right"/>
        <w:rPr>
          <w:rFonts w:hint="eastAsia" w:ascii="仿宋" w:hAnsi="仿宋" w:eastAsia="仿宋" w:cs="仿宋"/>
          <w:b/>
          <w:bCs/>
          <w:kern w:val="0"/>
          <w:sz w:val="24"/>
          <w:szCs w:val="24"/>
          <w:highlight w:val="none"/>
        </w:rPr>
      </w:pPr>
      <w:r>
        <w:rPr>
          <w:rFonts w:hint="eastAsia" w:ascii="仿宋" w:hAnsi="仿宋" w:eastAsia="仿宋" w:cs="仿宋"/>
          <w:sz w:val="24"/>
          <w:szCs w:val="24"/>
          <w:highlight w:val="none"/>
        </w:rPr>
        <w:t>签署</w:t>
      </w:r>
      <w:r>
        <w:rPr>
          <w:rFonts w:hint="eastAsia" w:ascii="仿宋" w:hAnsi="仿宋" w:eastAsia="仿宋" w:cs="仿宋"/>
          <w:sz w:val="24"/>
          <w:szCs w:val="24"/>
          <w:highlight w:val="none"/>
          <w:lang w:eastAsia="zh-CN"/>
        </w:rPr>
        <w:t xml:space="preserve">日期：      年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 xml:space="preserve"> 月</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日</w:t>
      </w:r>
    </w:p>
    <w:p w14:paraId="4DED8275">
      <w:pPr>
        <w:shd w:val="clear"/>
        <w:spacing w:line="480" w:lineRule="auto"/>
        <w:jc w:val="left"/>
        <w:rPr>
          <w:rStyle w:val="43"/>
          <w:rFonts w:hint="eastAsia" w:ascii="仿宋" w:hAnsi="仿宋" w:eastAsia="仿宋" w:cs="仿宋"/>
          <w:sz w:val="30"/>
          <w:szCs w:val="30"/>
          <w:highlight w:val="none"/>
        </w:rPr>
      </w:pPr>
    </w:p>
    <w:bookmarkEnd w:id="207"/>
    <w:bookmarkEnd w:id="208"/>
    <w:p w14:paraId="3F9460B6">
      <w:pPr>
        <w:shd w:val="clear"/>
        <w:rPr>
          <w:rFonts w:hint="eastAsia" w:ascii="仿宋" w:hAnsi="仿宋" w:eastAsia="仿宋" w:cs="仿宋"/>
          <w:sz w:val="24"/>
          <w:szCs w:val="24"/>
          <w:highlight w:val="none"/>
          <w:lang w:val="en-US" w:eastAsia="zh-CN"/>
        </w:rPr>
      </w:pPr>
      <w:bookmarkStart w:id="214" w:name="_Toc25848"/>
      <w:bookmarkStart w:id="215" w:name="_Toc30768"/>
      <w:bookmarkStart w:id="216" w:name="_Toc2314"/>
      <w:r>
        <w:rPr>
          <w:rFonts w:hint="eastAsia" w:ascii="仿宋" w:hAnsi="仿宋" w:eastAsia="仿宋" w:cs="仿宋"/>
          <w:sz w:val="24"/>
          <w:szCs w:val="24"/>
          <w:highlight w:val="none"/>
          <w:lang w:val="en-US" w:eastAsia="zh-CN"/>
        </w:rPr>
        <w:br w:type="page"/>
      </w:r>
    </w:p>
    <w:p w14:paraId="5D75CB5B">
      <w:pPr>
        <w:pStyle w:val="3"/>
        <w:shd w:val="clear"/>
        <w:rPr>
          <w:rFonts w:hint="eastAsia" w:ascii="仿宋" w:hAnsi="仿宋" w:eastAsia="仿宋" w:cs="仿宋"/>
          <w:highlight w:val="none"/>
        </w:rPr>
      </w:pPr>
      <w:bookmarkStart w:id="217" w:name="_Toc19447"/>
      <w:bookmarkStart w:id="218" w:name="_Toc5936"/>
      <w:bookmarkStart w:id="219" w:name="_Toc17260"/>
      <w:bookmarkStart w:id="220" w:name="_Toc7960"/>
      <w:bookmarkStart w:id="221" w:name="_Toc6851"/>
      <w:r>
        <w:rPr>
          <w:rFonts w:hint="eastAsia" w:ascii="仿宋" w:hAnsi="仿宋" w:eastAsia="仿宋" w:cs="仿宋"/>
          <w:highlight w:val="none"/>
          <w:lang w:val="en-US" w:eastAsia="zh-CN"/>
        </w:rPr>
        <w:t>附件7：</w:t>
      </w:r>
      <w:r>
        <w:rPr>
          <w:rFonts w:hint="eastAsia" w:ascii="仿宋" w:hAnsi="仿宋" w:eastAsia="仿宋" w:cs="仿宋"/>
          <w:highlight w:val="none"/>
        </w:rPr>
        <w:t>商务条款偏离表</w:t>
      </w:r>
      <w:bookmarkEnd w:id="214"/>
      <w:bookmarkEnd w:id="215"/>
      <w:bookmarkEnd w:id="216"/>
      <w:bookmarkEnd w:id="217"/>
      <w:bookmarkEnd w:id="218"/>
      <w:bookmarkEnd w:id="219"/>
      <w:bookmarkEnd w:id="220"/>
      <w:bookmarkEnd w:id="221"/>
    </w:p>
    <w:p w14:paraId="6DB8ACC7">
      <w:pPr>
        <w:shd w:val="clear"/>
        <w:spacing w:line="360" w:lineRule="auto"/>
        <w:jc w:val="center"/>
        <w:rPr>
          <w:rFonts w:hint="eastAsia" w:ascii="仿宋" w:hAnsi="仿宋" w:eastAsia="仿宋" w:cs="仿宋"/>
          <w:sz w:val="28"/>
          <w:szCs w:val="28"/>
          <w:highlight w:val="none"/>
          <w:shd w:val="clear" w:color="auto" w:fill="FFFFFF"/>
          <w:lang w:eastAsia="zh-CN"/>
        </w:rPr>
      </w:pPr>
      <w:r>
        <w:rPr>
          <w:rFonts w:hint="eastAsia" w:ascii="仿宋" w:hAnsi="仿宋" w:eastAsia="仿宋" w:cs="仿宋"/>
          <w:sz w:val="28"/>
          <w:szCs w:val="28"/>
          <w:highlight w:val="none"/>
          <w:shd w:val="clear" w:color="auto" w:fill="FFFFFF"/>
          <w:lang w:val="en-US" w:eastAsia="zh-CN"/>
        </w:rPr>
        <w:t>《</w:t>
      </w:r>
      <w:r>
        <w:rPr>
          <w:rFonts w:hint="eastAsia" w:ascii="仿宋" w:hAnsi="仿宋" w:eastAsia="仿宋" w:cs="仿宋"/>
          <w:sz w:val="28"/>
          <w:szCs w:val="28"/>
          <w:highlight w:val="none"/>
          <w:shd w:val="clear" w:color="auto" w:fill="FFFFFF"/>
          <w:lang w:eastAsia="zh-CN"/>
        </w:rPr>
        <w:t>商务条款偏离表</w:t>
      </w:r>
      <w:r>
        <w:rPr>
          <w:rFonts w:hint="eastAsia" w:ascii="仿宋" w:hAnsi="仿宋" w:eastAsia="仿宋" w:cs="仿宋"/>
          <w:sz w:val="28"/>
          <w:szCs w:val="28"/>
          <w:highlight w:val="none"/>
          <w:shd w:val="clear" w:color="auto" w:fill="FFFFFF"/>
          <w:lang w:val="en-US" w:eastAsia="zh-CN"/>
        </w:rPr>
        <w:t>》</w:t>
      </w:r>
    </w:p>
    <w:p w14:paraId="507BB7E6">
      <w:pPr>
        <w:shd w:val="clear"/>
        <w:spacing w:line="360" w:lineRule="auto"/>
        <w:rPr>
          <w:rFonts w:hint="eastAsia" w:ascii="仿宋" w:hAnsi="仿宋" w:eastAsia="仿宋" w:cs="仿宋"/>
          <w:spacing w:val="6"/>
          <w:sz w:val="24"/>
          <w:szCs w:val="24"/>
          <w:highlight w:val="none"/>
        </w:rPr>
      </w:pPr>
    </w:p>
    <w:p w14:paraId="317492F7">
      <w:pPr>
        <w:shd w:val="clear"/>
        <w:spacing w:line="360" w:lineRule="auto"/>
        <w:rPr>
          <w:rFonts w:hint="eastAsia" w:ascii="仿宋" w:hAnsi="仿宋" w:eastAsia="仿宋" w:cs="仿宋"/>
          <w:spacing w:val="6"/>
          <w:sz w:val="24"/>
          <w:szCs w:val="24"/>
          <w:highlight w:val="none"/>
          <w:u w:val="single"/>
        </w:rPr>
      </w:pPr>
      <w:r>
        <w:rPr>
          <w:rFonts w:hint="eastAsia" w:ascii="仿宋" w:hAnsi="仿宋" w:eastAsia="仿宋" w:cs="仿宋"/>
          <w:spacing w:val="6"/>
          <w:sz w:val="24"/>
          <w:szCs w:val="24"/>
          <w:highlight w:val="none"/>
        </w:rPr>
        <w:t>投标人名称：</w:t>
      </w:r>
      <w:r>
        <w:rPr>
          <w:rFonts w:hint="eastAsia" w:ascii="仿宋" w:hAnsi="仿宋" w:eastAsia="仿宋" w:cs="仿宋"/>
          <w:spacing w:val="6"/>
          <w:sz w:val="24"/>
          <w:szCs w:val="24"/>
          <w:highlight w:val="none"/>
          <w:u w:val="single"/>
        </w:rPr>
        <w:t xml:space="preserve">  </w:t>
      </w:r>
      <w:r>
        <w:rPr>
          <w:rFonts w:hint="eastAsia" w:ascii="仿宋" w:hAnsi="仿宋" w:eastAsia="仿宋" w:cs="仿宋"/>
          <w:spacing w:val="6"/>
          <w:sz w:val="24"/>
          <w:szCs w:val="24"/>
          <w:highlight w:val="none"/>
          <w:u w:val="single"/>
          <w:lang w:val="en-US" w:eastAsia="zh-CN"/>
        </w:rPr>
        <w:t xml:space="preserve">         </w:t>
      </w:r>
      <w:r>
        <w:rPr>
          <w:rFonts w:hint="eastAsia" w:ascii="仿宋" w:hAnsi="仿宋" w:eastAsia="仿宋" w:cs="仿宋"/>
          <w:spacing w:val="6"/>
          <w:sz w:val="24"/>
          <w:szCs w:val="24"/>
          <w:highlight w:val="none"/>
          <w:u w:val="single"/>
        </w:rPr>
        <w:t xml:space="preserve"> </w:t>
      </w:r>
    </w:p>
    <w:tbl>
      <w:tblPr>
        <w:tblStyle w:val="19"/>
        <w:tblW w:w="931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192"/>
        <w:gridCol w:w="2268"/>
        <w:gridCol w:w="2410"/>
        <w:gridCol w:w="850"/>
        <w:gridCol w:w="1843"/>
      </w:tblGrid>
      <w:tr w14:paraId="4233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2" w:type="dxa"/>
            <w:vAlign w:val="center"/>
          </w:tcPr>
          <w:p w14:paraId="51643921">
            <w:pPr>
              <w:pStyle w:val="44"/>
              <w:keepNext w:val="0"/>
              <w:keepLines w:val="0"/>
              <w:suppressLineNumbers w:val="0"/>
              <w:shd w:val="clear"/>
              <w:spacing w:before="0" w:beforeAutospacing="0" w:after="0" w:afterAutospacing="0"/>
              <w:ind w:left="0" w:right="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1192" w:type="dxa"/>
          </w:tcPr>
          <w:p w14:paraId="726C1CAB">
            <w:pPr>
              <w:pStyle w:val="44"/>
              <w:keepNext w:val="0"/>
              <w:keepLines w:val="0"/>
              <w:suppressLineNumbers w:val="0"/>
              <w:shd w:val="clear"/>
              <w:spacing w:before="0" w:beforeAutospacing="0" w:after="0" w:afterAutospacing="0"/>
              <w:ind w:left="0" w:right="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招标要求编号</w:t>
            </w:r>
          </w:p>
        </w:tc>
        <w:tc>
          <w:tcPr>
            <w:tcW w:w="2268" w:type="dxa"/>
            <w:vAlign w:val="center"/>
          </w:tcPr>
          <w:p w14:paraId="72522004">
            <w:pPr>
              <w:pStyle w:val="44"/>
              <w:keepNext w:val="0"/>
              <w:keepLines w:val="0"/>
              <w:suppressLineNumbers w:val="0"/>
              <w:shd w:val="clear"/>
              <w:spacing w:before="0" w:beforeAutospacing="0" w:after="0" w:afterAutospacing="0"/>
              <w:ind w:left="0" w:right="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招标文件的条款</w:t>
            </w:r>
          </w:p>
        </w:tc>
        <w:tc>
          <w:tcPr>
            <w:tcW w:w="2410" w:type="dxa"/>
            <w:vAlign w:val="center"/>
          </w:tcPr>
          <w:p w14:paraId="36E64A96">
            <w:pPr>
              <w:pStyle w:val="44"/>
              <w:keepNext w:val="0"/>
              <w:keepLines w:val="0"/>
              <w:suppressLineNumbers w:val="0"/>
              <w:shd w:val="clear"/>
              <w:spacing w:before="0" w:beforeAutospacing="0" w:after="0" w:afterAutospacing="0"/>
              <w:ind w:left="0" w:right="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投标文件的条款</w:t>
            </w:r>
          </w:p>
        </w:tc>
        <w:tc>
          <w:tcPr>
            <w:tcW w:w="850" w:type="dxa"/>
            <w:vAlign w:val="center"/>
          </w:tcPr>
          <w:p w14:paraId="1DF9D84E">
            <w:pPr>
              <w:pStyle w:val="44"/>
              <w:keepNext w:val="0"/>
              <w:keepLines w:val="0"/>
              <w:suppressLineNumbers w:val="0"/>
              <w:shd w:val="clear"/>
              <w:spacing w:before="0" w:beforeAutospacing="0" w:after="0" w:afterAutospacing="0"/>
              <w:ind w:left="0" w:right="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偏离情况</w:t>
            </w:r>
          </w:p>
        </w:tc>
        <w:tc>
          <w:tcPr>
            <w:tcW w:w="1843" w:type="dxa"/>
            <w:vAlign w:val="center"/>
          </w:tcPr>
          <w:p w14:paraId="46593955">
            <w:pPr>
              <w:pStyle w:val="18"/>
              <w:keepNext w:val="0"/>
              <w:keepLines w:val="0"/>
              <w:suppressLineNumbers w:val="0"/>
              <w:shd w:val="clear"/>
              <w:spacing w:before="0" w:beforeAutospacing="0" w:after="0" w:afterAutospacing="0"/>
              <w:ind w:left="0" w:leftChars="0" w:right="0" w:firstLine="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备注</w:t>
            </w:r>
          </w:p>
        </w:tc>
      </w:tr>
      <w:tr w14:paraId="555F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2" w:type="dxa"/>
            <w:vAlign w:val="center"/>
          </w:tcPr>
          <w:p w14:paraId="375B1D33">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192" w:type="dxa"/>
          </w:tcPr>
          <w:p w14:paraId="15D5CD61">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268" w:type="dxa"/>
            <w:vAlign w:val="center"/>
          </w:tcPr>
          <w:p w14:paraId="593E05B4">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410" w:type="dxa"/>
            <w:vAlign w:val="center"/>
          </w:tcPr>
          <w:p w14:paraId="17358209">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850" w:type="dxa"/>
            <w:vAlign w:val="center"/>
          </w:tcPr>
          <w:p w14:paraId="7E4679E6">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843" w:type="dxa"/>
            <w:vAlign w:val="center"/>
          </w:tcPr>
          <w:p w14:paraId="1541C923">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r>
      <w:tr w14:paraId="7E60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2" w:type="dxa"/>
            <w:vAlign w:val="center"/>
          </w:tcPr>
          <w:p w14:paraId="0FEDCF73">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192" w:type="dxa"/>
          </w:tcPr>
          <w:p w14:paraId="78558082">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268" w:type="dxa"/>
            <w:vAlign w:val="center"/>
          </w:tcPr>
          <w:p w14:paraId="36D8C874">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410" w:type="dxa"/>
            <w:vAlign w:val="center"/>
          </w:tcPr>
          <w:p w14:paraId="0ED950DA">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850" w:type="dxa"/>
            <w:vAlign w:val="center"/>
          </w:tcPr>
          <w:p w14:paraId="6A6AA0F9">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843" w:type="dxa"/>
            <w:vAlign w:val="center"/>
          </w:tcPr>
          <w:p w14:paraId="55390CE3">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r>
      <w:tr w14:paraId="2C8E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2" w:type="dxa"/>
            <w:vAlign w:val="center"/>
          </w:tcPr>
          <w:p w14:paraId="3027A9E1">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192" w:type="dxa"/>
          </w:tcPr>
          <w:p w14:paraId="41CA86AE">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268" w:type="dxa"/>
            <w:vAlign w:val="center"/>
          </w:tcPr>
          <w:p w14:paraId="7EFC6FFA">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410" w:type="dxa"/>
            <w:vAlign w:val="center"/>
          </w:tcPr>
          <w:p w14:paraId="6C198202">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850" w:type="dxa"/>
            <w:vAlign w:val="center"/>
          </w:tcPr>
          <w:p w14:paraId="659C36BF">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843" w:type="dxa"/>
            <w:vAlign w:val="center"/>
          </w:tcPr>
          <w:p w14:paraId="7A77442F">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r>
      <w:tr w14:paraId="462E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2" w:type="dxa"/>
            <w:vAlign w:val="center"/>
          </w:tcPr>
          <w:p w14:paraId="56E8FABC">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192" w:type="dxa"/>
          </w:tcPr>
          <w:p w14:paraId="2435BECB">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268" w:type="dxa"/>
            <w:vAlign w:val="center"/>
          </w:tcPr>
          <w:p w14:paraId="04D48E14">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410" w:type="dxa"/>
            <w:vAlign w:val="center"/>
          </w:tcPr>
          <w:p w14:paraId="70A31090">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850" w:type="dxa"/>
            <w:vAlign w:val="center"/>
          </w:tcPr>
          <w:p w14:paraId="36F1AAA2">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843" w:type="dxa"/>
            <w:vAlign w:val="center"/>
          </w:tcPr>
          <w:p w14:paraId="421A5CFB">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r>
    </w:tbl>
    <w:p w14:paraId="2DF19A95">
      <w:pPr>
        <w:shd w:val="clear"/>
        <w:spacing w:line="360" w:lineRule="auto"/>
        <w:rPr>
          <w:rFonts w:hint="eastAsia" w:ascii="仿宋" w:hAnsi="仿宋" w:eastAsia="仿宋" w:cs="仿宋"/>
          <w:sz w:val="24"/>
          <w:szCs w:val="24"/>
          <w:highlight w:val="none"/>
        </w:rPr>
      </w:pPr>
    </w:p>
    <w:p w14:paraId="4AB261E2">
      <w:pPr>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填报说明：</w:t>
      </w:r>
    </w:p>
    <w:p w14:paraId="0F4756D7">
      <w:pPr>
        <w:shd w:val="clear"/>
        <w:spacing w:line="360" w:lineRule="auto"/>
        <w:ind w:left="420"/>
        <w:rPr>
          <w:rFonts w:hint="eastAsia" w:ascii="仿宋" w:hAnsi="仿宋" w:eastAsia="仿宋" w:cs="仿宋"/>
          <w:sz w:val="24"/>
          <w:szCs w:val="24"/>
          <w:highlight w:val="none"/>
        </w:rPr>
      </w:pPr>
      <w:r>
        <w:rPr>
          <w:rFonts w:hint="eastAsia" w:ascii="仿宋" w:hAnsi="仿宋" w:eastAsia="仿宋" w:cs="仿宋"/>
          <w:sz w:val="24"/>
          <w:szCs w:val="24"/>
          <w:highlight w:val="none"/>
        </w:rPr>
        <w:t>1. “投标文件的条款”栏中须逐条填报投标人对招标文件商务条款的具体响应情况，凡在本栏出现遗漏、不填的，均视为响应招标文件要求。</w:t>
      </w:r>
    </w:p>
    <w:p w14:paraId="72D165B2">
      <w:pPr>
        <w:shd w:val="clear"/>
        <w:spacing w:line="360" w:lineRule="auto"/>
        <w:ind w:left="420"/>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2. 偏离情况：请填写“无偏离”、“正偏离”或“负偏离”。</w:t>
      </w:r>
    </w:p>
    <w:p w14:paraId="7E4DD93C">
      <w:pPr>
        <w:shd w:val="clear"/>
        <w:spacing w:line="360" w:lineRule="auto"/>
        <w:ind w:left="420"/>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3. 备注一栏：请标注对应的页号以便评委查阅。如有正/负偏离则请在备注一栏注明偏离差异说明。</w:t>
      </w:r>
    </w:p>
    <w:p w14:paraId="09CD4034">
      <w:pPr>
        <w:shd w:val="clear"/>
        <w:spacing w:line="360" w:lineRule="auto"/>
        <w:ind w:left="420"/>
        <w:rPr>
          <w:rFonts w:hint="eastAsia" w:ascii="仿宋" w:hAnsi="仿宋" w:eastAsia="仿宋" w:cs="仿宋"/>
          <w:spacing w:val="6"/>
          <w:sz w:val="24"/>
          <w:szCs w:val="24"/>
          <w:highlight w:val="none"/>
        </w:rPr>
      </w:pPr>
    </w:p>
    <w:p w14:paraId="232B4C8D">
      <w:pPr>
        <w:shd w:val="clear"/>
        <w:spacing w:line="360" w:lineRule="auto"/>
        <w:ind w:left="420"/>
        <w:rPr>
          <w:rFonts w:hint="eastAsia" w:ascii="仿宋" w:hAnsi="仿宋" w:eastAsia="仿宋" w:cs="仿宋"/>
          <w:spacing w:val="6"/>
          <w:sz w:val="24"/>
          <w:szCs w:val="24"/>
          <w:highlight w:val="none"/>
        </w:rPr>
      </w:pPr>
    </w:p>
    <w:p w14:paraId="03B612BB">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投标人名称：xxxx有限公司（加盖公章）</w:t>
      </w:r>
    </w:p>
    <w:p w14:paraId="1A631762">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512FA5F9">
      <w:pPr>
        <w:shd w:val="clear"/>
        <w:jc w:val="righ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法定代表人或委托代理人签字：</w:t>
      </w:r>
      <w:r>
        <w:rPr>
          <w:rFonts w:hint="eastAsia" w:ascii="仿宋" w:hAnsi="仿宋" w:eastAsia="仿宋" w:cs="仿宋"/>
          <w:sz w:val="24"/>
          <w:szCs w:val="24"/>
          <w:highlight w:val="none"/>
          <w:lang w:val="en-US" w:eastAsia="zh-CN"/>
        </w:rPr>
        <w:t xml:space="preserve">        </w:t>
      </w:r>
    </w:p>
    <w:p w14:paraId="5EC041B8">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02042192">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签署</w:t>
      </w:r>
      <w:r>
        <w:rPr>
          <w:rFonts w:hint="eastAsia" w:ascii="仿宋" w:hAnsi="仿宋" w:eastAsia="仿宋" w:cs="仿宋"/>
          <w:sz w:val="24"/>
          <w:szCs w:val="24"/>
          <w:highlight w:val="none"/>
          <w:lang w:eastAsia="zh-CN"/>
        </w:rPr>
        <w:t xml:space="preserve">日期：      年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 xml:space="preserve"> 月</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日</w:t>
      </w:r>
    </w:p>
    <w:p w14:paraId="40230F56">
      <w:pPr>
        <w:pStyle w:val="10"/>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EDE70">
      <w:pPr>
        <w:shd w:val="clear"/>
        <w:spacing w:line="480" w:lineRule="auto"/>
        <w:jc w:val="left"/>
        <w:rPr>
          <w:rStyle w:val="43"/>
          <w:rFonts w:hint="eastAsia" w:ascii="仿宋" w:hAnsi="仿宋" w:eastAsia="仿宋" w:cs="仿宋"/>
          <w:sz w:val="24"/>
          <w:szCs w:val="24"/>
          <w:highlight w:val="none"/>
        </w:rPr>
        <w:sectPr>
          <w:pgSz w:w="11906" w:h="16838"/>
          <w:pgMar w:top="1701" w:right="1418" w:bottom="1134" w:left="1418" w:header="851" w:footer="992" w:gutter="0"/>
          <w:pgNumType w:fmt="upperRoman" w:start="1"/>
          <w:cols w:space="720" w:num="1"/>
          <w:docGrid w:linePitch="312" w:charSpace="0"/>
        </w:sectPr>
      </w:pPr>
    </w:p>
    <w:p w14:paraId="628B6D30">
      <w:pPr>
        <w:pStyle w:val="3"/>
        <w:shd w:val="clear"/>
        <w:rPr>
          <w:rFonts w:hint="eastAsia" w:ascii="仿宋" w:hAnsi="仿宋" w:eastAsia="仿宋" w:cs="仿宋"/>
          <w:highlight w:val="none"/>
          <w:lang w:val="en-US" w:eastAsia="zh-CN"/>
        </w:rPr>
      </w:pPr>
      <w:bookmarkStart w:id="222" w:name="_Toc24196"/>
      <w:bookmarkStart w:id="223" w:name="_Toc29676"/>
      <w:bookmarkStart w:id="224" w:name="_Toc19412"/>
      <w:bookmarkStart w:id="225" w:name="_Toc4907"/>
      <w:bookmarkStart w:id="226" w:name="_Toc29419"/>
      <w:bookmarkStart w:id="227" w:name="_Toc5213"/>
      <w:r>
        <w:rPr>
          <w:rFonts w:hint="eastAsia" w:ascii="仿宋" w:hAnsi="仿宋" w:eastAsia="仿宋" w:cs="仿宋"/>
          <w:highlight w:val="none"/>
          <w:lang w:val="en-US" w:eastAsia="zh-CN"/>
        </w:rPr>
        <w:t>附件8：项目实施方案（包括但不限于以下几项）</w:t>
      </w:r>
      <w:bookmarkEnd w:id="222"/>
      <w:bookmarkEnd w:id="223"/>
      <w:bookmarkEnd w:id="224"/>
      <w:bookmarkEnd w:id="225"/>
      <w:bookmarkEnd w:id="226"/>
      <w:bookmarkEnd w:id="227"/>
    </w:p>
    <w:p w14:paraId="3CCA4645">
      <w:pPr>
        <w:keepNext w:val="0"/>
        <w:keepLines w:val="0"/>
        <w:pageBreakBefore w:val="0"/>
        <w:numPr>
          <w:ilvl w:val="0"/>
          <w:numId w:val="36"/>
        </w:numPr>
        <w:shd w:val="clear"/>
        <w:tabs>
          <w:tab w:val="left" w:pos="0"/>
        </w:tabs>
        <w:kinsoku/>
        <w:wordWrap/>
        <w:overflowPunct/>
        <w:topLinePunct w:val="0"/>
        <w:autoSpaceDE/>
        <w:bidi w:val="0"/>
        <w:adjustRightInd/>
        <w:snapToGrid/>
        <w:spacing w:before="160" w:after="160" w:line="360" w:lineRule="auto"/>
        <w:ind w:left="425" w:leftChars="0" w:hanging="425"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项目概述（</w:t>
      </w:r>
      <w:r>
        <w:rPr>
          <w:rFonts w:hint="eastAsia" w:ascii="仿宋" w:hAnsi="仿宋" w:eastAsia="仿宋" w:cs="仿宋"/>
          <w:sz w:val="24"/>
          <w:highlight w:val="none"/>
          <w:lang w:eastAsia="zh-CN"/>
        </w:rPr>
        <w:t>医保智能审核和DRG精细化管理系统</w:t>
      </w:r>
      <w:r>
        <w:rPr>
          <w:rFonts w:hint="eastAsia" w:ascii="仿宋" w:hAnsi="仿宋" w:eastAsia="仿宋" w:cs="仿宋"/>
          <w:sz w:val="24"/>
          <w:highlight w:val="none"/>
        </w:rPr>
        <w:t>建设目标）</w:t>
      </w:r>
    </w:p>
    <w:p w14:paraId="1DA67066">
      <w:pPr>
        <w:keepNext w:val="0"/>
        <w:keepLines w:val="0"/>
        <w:pageBreakBefore w:val="0"/>
        <w:numPr>
          <w:ilvl w:val="0"/>
          <w:numId w:val="36"/>
        </w:numPr>
        <w:shd w:val="clear"/>
        <w:tabs>
          <w:tab w:val="left" w:pos="0"/>
        </w:tabs>
        <w:kinsoku/>
        <w:wordWrap/>
        <w:overflowPunct/>
        <w:topLinePunct w:val="0"/>
        <w:autoSpaceDE/>
        <w:bidi w:val="0"/>
        <w:adjustRightInd/>
        <w:snapToGrid/>
        <w:spacing w:before="160" w:after="160" w:line="360" w:lineRule="auto"/>
        <w:ind w:left="425" w:leftChars="0" w:hanging="425"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建设依据（医院信息化标准、行业规范）</w:t>
      </w:r>
    </w:p>
    <w:p w14:paraId="01D490C8">
      <w:pPr>
        <w:keepNext w:val="0"/>
        <w:keepLines w:val="0"/>
        <w:pageBreakBefore w:val="0"/>
        <w:numPr>
          <w:ilvl w:val="0"/>
          <w:numId w:val="36"/>
        </w:numPr>
        <w:shd w:val="clear"/>
        <w:tabs>
          <w:tab w:val="left" w:pos="0"/>
        </w:tabs>
        <w:kinsoku/>
        <w:wordWrap/>
        <w:overflowPunct/>
        <w:topLinePunct w:val="0"/>
        <w:autoSpaceDE/>
        <w:bidi w:val="0"/>
        <w:adjustRightInd/>
        <w:snapToGrid/>
        <w:spacing w:before="160" w:after="160" w:line="360" w:lineRule="auto"/>
        <w:ind w:left="425" w:leftChars="0" w:hanging="425"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系统功能设计方案（DRG精细化管理系统、医保智能审核系统）</w:t>
      </w:r>
      <w:r>
        <w:rPr>
          <w:rFonts w:hint="eastAsia" w:ascii="仿宋" w:hAnsi="仿宋" w:eastAsia="仿宋" w:cs="仿宋"/>
          <w:sz w:val="24"/>
          <w:highlight w:val="none"/>
          <w:lang w:eastAsia="zh-CN"/>
        </w:rPr>
        <w:t>。</w:t>
      </w:r>
      <w:r>
        <w:rPr>
          <w:rFonts w:hint="eastAsia" w:ascii="仿宋" w:hAnsi="仿宋" w:eastAsia="仿宋" w:cs="仿宋"/>
          <w:sz w:val="24"/>
          <w:highlight w:val="none"/>
        </w:rPr>
        <w:t>分别编制DRG精细化管理系统、医保智能审核系统的专项实施方案，明确两套系统的边界、对接机制及分授标后的平滑集成方案。</w:t>
      </w:r>
    </w:p>
    <w:p w14:paraId="50844E03">
      <w:pPr>
        <w:keepNext w:val="0"/>
        <w:keepLines w:val="0"/>
        <w:pageBreakBefore w:val="0"/>
        <w:numPr>
          <w:ilvl w:val="0"/>
          <w:numId w:val="36"/>
        </w:numPr>
        <w:shd w:val="clear"/>
        <w:tabs>
          <w:tab w:val="left" w:pos="0"/>
        </w:tabs>
        <w:kinsoku/>
        <w:wordWrap/>
        <w:overflowPunct/>
        <w:topLinePunct w:val="0"/>
        <w:autoSpaceDE/>
        <w:bidi w:val="0"/>
        <w:adjustRightInd/>
        <w:snapToGrid/>
        <w:spacing w:before="160" w:after="160" w:line="360" w:lineRule="auto"/>
        <w:ind w:left="425" w:leftChars="0" w:hanging="425"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HIS系统对接方案（接口类型、联调计划、数据同步机制）</w:t>
      </w:r>
    </w:p>
    <w:p w14:paraId="4473F8E4">
      <w:pPr>
        <w:keepNext w:val="0"/>
        <w:keepLines w:val="0"/>
        <w:pageBreakBefore w:val="0"/>
        <w:numPr>
          <w:ilvl w:val="0"/>
          <w:numId w:val="36"/>
        </w:numPr>
        <w:shd w:val="clear"/>
        <w:tabs>
          <w:tab w:val="left" w:pos="0"/>
        </w:tabs>
        <w:kinsoku/>
        <w:wordWrap/>
        <w:overflowPunct/>
        <w:topLinePunct w:val="0"/>
        <w:autoSpaceDE/>
        <w:bidi w:val="0"/>
        <w:adjustRightInd/>
        <w:snapToGrid/>
        <w:spacing w:before="160" w:after="160" w:line="360" w:lineRule="auto"/>
        <w:ind w:left="425" w:leftChars="0" w:hanging="425"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实施进度计划（</w:t>
      </w:r>
      <w:r>
        <w:rPr>
          <w:rFonts w:hint="eastAsia" w:ascii="仿宋" w:hAnsi="仿宋" w:eastAsia="仿宋" w:cs="仿宋"/>
          <w:sz w:val="24"/>
          <w:highlight w:val="none"/>
          <w:lang w:val="en-US" w:eastAsia="zh-CN"/>
        </w:rPr>
        <w:t>60个工作日</w:t>
      </w:r>
      <w:r>
        <w:rPr>
          <w:rFonts w:hint="eastAsia" w:ascii="仿宋" w:hAnsi="仿宋" w:eastAsia="仿宋" w:cs="仿宋"/>
          <w:sz w:val="24"/>
          <w:highlight w:val="none"/>
        </w:rPr>
        <w:t>节点，</w:t>
      </w:r>
      <w:r>
        <w:rPr>
          <w:rFonts w:hint="eastAsia" w:ascii="仿宋" w:hAnsi="仿宋" w:eastAsia="仿宋" w:cs="仿宋"/>
          <w:sz w:val="24"/>
          <w:highlight w:val="none"/>
          <w:lang w:val="en-US" w:eastAsia="zh-CN"/>
        </w:rPr>
        <w:t>包括但不限于启动、</w:t>
      </w:r>
      <w:r>
        <w:rPr>
          <w:rFonts w:hint="eastAsia" w:ascii="仿宋" w:hAnsi="仿宋" w:eastAsia="仿宋" w:cs="仿宋"/>
          <w:sz w:val="24"/>
          <w:highlight w:val="none"/>
        </w:rPr>
        <w:t>进场、</w:t>
      </w:r>
      <w:r>
        <w:rPr>
          <w:rFonts w:hint="eastAsia" w:ascii="仿宋" w:hAnsi="仿宋" w:eastAsia="仿宋" w:cs="仿宋"/>
          <w:sz w:val="24"/>
          <w:highlight w:val="none"/>
          <w:lang w:val="en-US" w:eastAsia="zh-CN"/>
        </w:rPr>
        <w:t>部署</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测试</w:t>
      </w:r>
      <w:r>
        <w:rPr>
          <w:rFonts w:hint="eastAsia" w:ascii="仿宋" w:hAnsi="仿宋" w:eastAsia="仿宋" w:cs="仿宋"/>
          <w:sz w:val="24"/>
          <w:highlight w:val="none"/>
        </w:rPr>
        <w:t>、培训、</w:t>
      </w:r>
      <w:r>
        <w:rPr>
          <w:rFonts w:hint="eastAsia" w:ascii="仿宋" w:hAnsi="仿宋" w:eastAsia="仿宋" w:cs="仿宋"/>
          <w:sz w:val="24"/>
          <w:highlight w:val="none"/>
          <w:lang w:val="en-US" w:eastAsia="zh-CN"/>
        </w:rPr>
        <w:t>正式上线、</w:t>
      </w:r>
      <w:r>
        <w:rPr>
          <w:rFonts w:hint="eastAsia" w:ascii="仿宋" w:hAnsi="仿宋" w:eastAsia="仿宋" w:cs="仿宋"/>
          <w:sz w:val="24"/>
          <w:highlight w:val="none"/>
        </w:rPr>
        <w:t>验收</w:t>
      </w:r>
      <w:r>
        <w:rPr>
          <w:rFonts w:hint="eastAsia" w:ascii="仿宋" w:hAnsi="仿宋" w:eastAsia="仿宋" w:cs="仿宋"/>
          <w:sz w:val="24"/>
          <w:highlight w:val="none"/>
          <w:lang w:val="en-US" w:eastAsia="zh-CN"/>
        </w:rPr>
        <w:t>等</w:t>
      </w:r>
      <w:r>
        <w:rPr>
          <w:rFonts w:hint="eastAsia" w:ascii="仿宋" w:hAnsi="仿宋" w:eastAsia="仿宋" w:cs="仿宋"/>
          <w:sz w:val="24"/>
          <w:highlight w:val="none"/>
        </w:rPr>
        <w:t>）</w:t>
      </w:r>
    </w:p>
    <w:p w14:paraId="7E52118A">
      <w:pPr>
        <w:keepNext w:val="0"/>
        <w:keepLines w:val="0"/>
        <w:pageBreakBefore w:val="0"/>
        <w:numPr>
          <w:ilvl w:val="0"/>
          <w:numId w:val="36"/>
        </w:numPr>
        <w:shd w:val="clear"/>
        <w:tabs>
          <w:tab w:val="left" w:pos="0"/>
        </w:tabs>
        <w:kinsoku/>
        <w:wordWrap/>
        <w:overflowPunct/>
        <w:topLinePunct w:val="0"/>
        <w:autoSpaceDE/>
        <w:bidi w:val="0"/>
        <w:adjustRightInd/>
        <w:snapToGrid/>
        <w:spacing w:before="160" w:after="160" w:line="360" w:lineRule="auto"/>
        <w:ind w:left="425" w:leftChars="0" w:hanging="425"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测试与验收方案（</w:t>
      </w:r>
      <w:r>
        <w:rPr>
          <w:rFonts w:hint="eastAsia" w:ascii="仿宋" w:hAnsi="仿宋" w:eastAsia="仿宋" w:cs="仿宋"/>
          <w:sz w:val="24"/>
          <w:highlight w:val="none"/>
          <w:lang w:val="en-US" w:eastAsia="zh-CN"/>
        </w:rPr>
        <w:t>包括但不限于</w:t>
      </w:r>
      <w:r>
        <w:rPr>
          <w:rFonts w:hint="eastAsia" w:ascii="仿宋" w:hAnsi="仿宋" w:eastAsia="仿宋" w:cs="仿宋"/>
          <w:sz w:val="24"/>
          <w:highlight w:val="none"/>
        </w:rPr>
        <w:t>功能测试、压力测试、</w:t>
      </w:r>
      <w:r>
        <w:rPr>
          <w:rFonts w:hint="eastAsia" w:ascii="仿宋" w:hAnsi="仿宋" w:eastAsia="仿宋" w:cs="仿宋"/>
          <w:sz w:val="24"/>
          <w:highlight w:val="none"/>
          <w:lang w:val="en-US" w:eastAsia="zh-CN"/>
        </w:rPr>
        <w:t>安全测试、</w:t>
      </w:r>
      <w:r>
        <w:rPr>
          <w:rFonts w:hint="eastAsia" w:ascii="仿宋" w:hAnsi="仿宋" w:eastAsia="仿宋" w:cs="仿宋"/>
          <w:sz w:val="24"/>
          <w:highlight w:val="none"/>
        </w:rPr>
        <w:t>验收标准）</w:t>
      </w:r>
    </w:p>
    <w:p w14:paraId="25420193">
      <w:pPr>
        <w:keepNext w:val="0"/>
        <w:keepLines w:val="0"/>
        <w:pageBreakBefore w:val="0"/>
        <w:numPr>
          <w:ilvl w:val="0"/>
          <w:numId w:val="36"/>
        </w:numPr>
        <w:shd w:val="clear"/>
        <w:tabs>
          <w:tab w:val="left" w:pos="0"/>
        </w:tabs>
        <w:kinsoku/>
        <w:wordWrap/>
        <w:overflowPunct/>
        <w:topLinePunct w:val="0"/>
        <w:autoSpaceDE/>
        <w:bidi w:val="0"/>
        <w:adjustRightInd/>
        <w:snapToGrid/>
        <w:spacing w:before="160" w:after="160" w:line="360" w:lineRule="auto"/>
        <w:ind w:left="425" w:leftChars="0" w:hanging="425"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培训方案（临床医护、医保办/病案科、信息科、院领导分层培训，含课时、考核）</w:t>
      </w:r>
    </w:p>
    <w:p w14:paraId="1A0C4D3A">
      <w:pPr>
        <w:keepNext w:val="0"/>
        <w:keepLines w:val="0"/>
        <w:pageBreakBefore w:val="0"/>
        <w:numPr>
          <w:ilvl w:val="0"/>
          <w:numId w:val="36"/>
        </w:numPr>
        <w:shd w:val="clear"/>
        <w:tabs>
          <w:tab w:val="left" w:pos="0"/>
        </w:tabs>
        <w:kinsoku/>
        <w:wordWrap/>
        <w:overflowPunct/>
        <w:topLinePunct w:val="0"/>
        <w:autoSpaceDE/>
        <w:bidi w:val="0"/>
        <w:adjustRightInd/>
        <w:snapToGrid/>
        <w:spacing w:before="160" w:after="160" w:line="360" w:lineRule="auto"/>
        <w:ind w:left="425" w:leftChars="0" w:hanging="425" w:firstLineChars="0"/>
        <w:textAlignment w:val="auto"/>
        <w:rPr>
          <w:rFonts w:hint="eastAsia" w:ascii="仿宋" w:hAnsi="仿宋" w:eastAsia="仿宋" w:cs="仿宋"/>
          <w:sz w:val="24"/>
          <w:highlight w:val="none"/>
        </w:rPr>
      </w:pPr>
      <w:r>
        <w:rPr>
          <w:rFonts w:hint="eastAsia" w:ascii="仿宋" w:hAnsi="仿宋" w:eastAsia="仿宋" w:cs="仿宋"/>
          <w:sz w:val="24"/>
          <w:highlight w:val="none"/>
        </w:rPr>
        <w:t>运维保障方案（7×12小时响应、故障处理流程</w:t>
      </w:r>
      <w:r>
        <w:rPr>
          <w:rFonts w:hint="eastAsia" w:ascii="仿宋" w:hAnsi="仿宋" w:eastAsia="仿宋" w:cs="仿宋"/>
          <w:sz w:val="24"/>
          <w:highlight w:val="none"/>
          <w:lang w:val="en-US" w:eastAsia="zh-CN"/>
        </w:rPr>
        <w:t>等</w:t>
      </w:r>
      <w:r>
        <w:rPr>
          <w:rFonts w:hint="eastAsia" w:ascii="仿宋" w:hAnsi="仿宋" w:eastAsia="仿宋" w:cs="仿宋"/>
          <w:sz w:val="24"/>
          <w:highlight w:val="none"/>
        </w:rPr>
        <w:t>）</w:t>
      </w:r>
    </w:p>
    <w:p w14:paraId="77446BD3">
      <w:pPr>
        <w:keepNext w:val="0"/>
        <w:keepLines w:val="0"/>
        <w:pageBreakBefore w:val="0"/>
        <w:numPr>
          <w:ilvl w:val="0"/>
          <w:numId w:val="36"/>
        </w:numPr>
        <w:shd w:val="clear"/>
        <w:tabs>
          <w:tab w:val="left" w:pos="0"/>
        </w:tabs>
        <w:kinsoku/>
        <w:wordWrap/>
        <w:overflowPunct/>
        <w:topLinePunct w:val="0"/>
        <w:autoSpaceDE/>
        <w:bidi w:val="0"/>
        <w:adjustRightInd/>
        <w:snapToGrid/>
        <w:spacing w:before="160" w:after="160" w:line="360" w:lineRule="auto"/>
        <w:ind w:left="425" w:leftChars="0" w:hanging="425" w:firstLineChars="0"/>
        <w:textAlignment w:val="auto"/>
        <w:rPr>
          <w:rFonts w:hint="eastAsia" w:ascii="仿宋" w:hAnsi="仿宋" w:eastAsia="仿宋" w:cs="仿宋"/>
          <w:sz w:val="24"/>
          <w:szCs w:val="24"/>
          <w:highlight w:val="none"/>
        </w:rPr>
      </w:pPr>
      <w:r>
        <w:rPr>
          <w:rFonts w:hint="eastAsia" w:ascii="仿宋" w:hAnsi="仿宋" w:eastAsia="仿宋" w:cs="仿宋"/>
          <w:sz w:val="24"/>
          <w:highlight w:val="none"/>
        </w:rPr>
        <w:t>应急预案（系统突发故障</w:t>
      </w:r>
      <w:r>
        <w:rPr>
          <w:rFonts w:hint="eastAsia" w:ascii="仿宋" w:hAnsi="仿宋" w:eastAsia="仿宋" w:cs="仿宋"/>
          <w:sz w:val="24"/>
          <w:highlight w:val="none"/>
          <w:lang w:eastAsia="zh-CN"/>
        </w:rPr>
        <w:t>、</w:t>
      </w:r>
      <w:r>
        <w:rPr>
          <w:rFonts w:hint="eastAsia" w:ascii="仿宋" w:hAnsi="仿宋" w:eastAsia="仿宋" w:cs="仿宋"/>
          <w:sz w:val="24"/>
          <w:highlight w:val="none"/>
        </w:rPr>
        <w:t>HIS系统异常</w:t>
      </w:r>
      <w:r>
        <w:rPr>
          <w:rFonts w:hint="eastAsia" w:ascii="仿宋" w:hAnsi="仿宋" w:eastAsia="仿宋" w:cs="仿宋"/>
          <w:sz w:val="24"/>
          <w:highlight w:val="none"/>
          <w:lang w:eastAsia="zh-CN"/>
        </w:rPr>
        <w:t>、</w:t>
      </w:r>
      <w:r>
        <w:rPr>
          <w:rFonts w:hint="eastAsia" w:ascii="仿宋" w:hAnsi="仿宋" w:eastAsia="仿宋" w:cs="仿宋"/>
          <w:sz w:val="24"/>
          <w:highlight w:val="none"/>
        </w:rPr>
        <w:t>数据同步异常</w:t>
      </w:r>
      <w:r>
        <w:rPr>
          <w:rFonts w:hint="eastAsia" w:ascii="仿宋" w:hAnsi="仿宋" w:eastAsia="仿宋" w:cs="仿宋"/>
          <w:sz w:val="24"/>
          <w:highlight w:val="none"/>
          <w:lang w:eastAsia="zh-CN"/>
        </w:rPr>
        <w:t>、</w:t>
      </w:r>
      <w:r>
        <w:rPr>
          <w:rFonts w:hint="eastAsia" w:ascii="仿宋" w:hAnsi="仿宋" w:eastAsia="仿宋" w:cs="仿宋"/>
          <w:sz w:val="24"/>
          <w:highlight w:val="none"/>
        </w:rPr>
        <w:t>网络中断）</w:t>
      </w:r>
    </w:p>
    <w:p w14:paraId="1A78FA6D">
      <w:pPr>
        <w:keepNext w:val="0"/>
        <w:keepLines w:val="0"/>
        <w:pageBreakBefore w:val="0"/>
        <w:widowControl w:val="0"/>
        <w:numPr>
          <w:ilvl w:val="0"/>
          <w:numId w:val="0"/>
        </w:numPr>
        <w:shd w:val="clear"/>
        <w:tabs>
          <w:tab w:val="left" w:pos="720"/>
        </w:tabs>
        <w:kinsoku/>
        <w:wordWrap/>
        <w:overflowPunct/>
        <w:topLinePunct w:val="0"/>
        <w:autoSpaceDE/>
        <w:bidi w:val="0"/>
        <w:adjustRightInd/>
        <w:snapToGrid/>
        <w:spacing w:before="160" w:after="160" w:line="360" w:lineRule="auto"/>
        <w:jc w:val="both"/>
        <w:textAlignment w:val="auto"/>
        <w:rPr>
          <w:rFonts w:hint="eastAsia" w:ascii="仿宋" w:hAnsi="仿宋" w:eastAsia="仿宋" w:cs="仿宋"/>
          <w:sz w:val="24"/>
          <w:szCs w:val="24"/>
          <w:highlight w:val="none"/>
        </w:rPr>
      </w:pPr>
    </w:p>
    <w:p w14:paraId="165EE808">
      <w:pPr>
        <w:keepNext w:val="0"/>
        <w:keepLines w:val="0"/>
        <w:pageBreakBefore w:val="0"/>
        <w:widowControl w:val="0"/>
        <w:numPr>
          <w:ilvl w:val="0"/>
          <w:numId w:val="0"/>
        </w:numPr>
        <w:shd w:val="clear"/>
        <w:tabs>
          <w:tab w:val="left" w:pos="720"/>
        </w:tabs>
        <w:kinsoku/>
        <w:wordWrap/>
        <w:overflowPunct/>
        <w:topLinePunct w:val="0"/>
        <w:autoSpaceDE/>
        <w:bidi w:val="0"/>
        <w:adjustRightInd/>
        <w:snapToGrid/>
        <w:spacing w:before="160" w:after="160" w:line="360" w:lineRule="auto"/>
        <w:jc w:val="both"/>
        <w:textAlignment w:val="auto"/>
        <w:rPr>
          <w:rFonts w:hint="eastAsia" w:ascii="仿宋" w:hAnsi="仿宋" w:eastAsia="仿宋" w:cs="仿宋"/>
          <w:sz w:val="24"/>
          <w:szCs w:val="24"/>
          <w:highlight w:val="none"/>
        </w:rPr>
      </w:pPr>
    </w:p>
    <w:p w14:paraId="658825FE">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5F0174F7">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05C5D5D0">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52201924">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7E49D489">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5ED549CF">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617A40F0">
      <w:pPr>
        <w:pStyle w:val="3"/>
        <w:shd w:val="clear"/>
        <w:rPr>
          <w:rFonts w:hint="eastAsia" w:ascii="仿宋" w:hAnsi="仿宋" w:eastAsia="仿宋" w:cs="仿宋"/>
          <w:highlight w:val="none"/>
          <w:lang w:val="en-US" w:eastAsia="zh-CN"/>
        </w:rPr>
      </w:pPr>
      <w:bookmarkStart w:id="228" w:name="_Toc13726"/>
      <w:bookmarkStart w:id="229" w:name="_Toc28236"/>
      <w:bookmarkStart w:id="230" w:name="_Toc8674"/>
      <w:bookmarkStart w:id="231" w:name="_Toc6334"/>
      <w:bookmarkStart w:id="232" w:name="_Toc27485"/>
      <w:bookmarkStart w:id="233" w:name="_Toc14709"/>
      <w:r>
        <w:rPr>
          <w:rFonts w:hint="eastAsia" w:ascii="仿宋" w:hAnsi="仿宋" w:eastAsia="仿宋" w:cs="仿宋"/>
          <w:highlight w:val="none"/>
          <w:lang w:val="en-US" w:eastAsia="zh-CN"/>
        </w:rPr>
        <w:t>附件9：服务承诺函</w:t>
      </w:r>
      <w:bookmarkEnd w:id="228"/>
      <w:bookmarkEnd w:id="229"/>
      <w:bookmarkEnd w:id="230"/>
      <w:bookmarkEnd w:id="231"/>
      <w:bookmarkEnd w:id="232"/>
      <w:bookmarkEnd w:id="233"/>
    </w:p>
    <w:p w14:paraId="085F8473">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lang w:eastAsia="zh-CN"/>
        </w:rPr>
        <w:t>成都三博东篱医院有限公司</w:t>
      </w:r>
    </w:p>
    <w:p w14:paraId="324EF3C3">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我方郑重承诺：</w:t>
      </w:r>
    </w:p>
    <w:p w14:paraId="353D280C">
      <w:pPr>
        <w:keepNext w:val="0"/>
        <w:keepLines w:val="0"/>
        <w:pageBreakBefore w:val="0"/>
        <w:numPr>
          <w:ilvl w:val="0"/>
          <w:numId w:val="37"/>
        </w:numPr>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highlight w:val="none"/>
        </w:rPr>
        <w:t>严格按招标文件要求完成</w:t>
      </w:r>
      <w:r>
        <w:rPr>
          <w:rFonts w:hint="eastAsia" w:ascii="仿宋" w:hAnsi="仿宋" w:eastAsia="仿宋" w:cs="仿宋"/>
          <w:sz w:val="24"/>
          <w:highlight w:val="none"/>
          <w:lang w:eastAsia="zh-CN"/>
        </w:rPr>
        <w:t>医保智能审核和DRG精细化管理系统</w:t>
      </w:r>
      <w:r>
        <w:rPr>
          <w:rFonts w:hint="eastAsia" w:ascii="仿宋" w:hAnsi="仿宋" w:eastAsia="仿宋" w:cs="仿宋"/>
          <w:sz w:val="24"/>
          <w:highlight w:val="none"/>
        </w:rPr>
        <w:t>建设，严格按招标文件要求完成</w:t>
      </w:r>
      <w:r>
        <w:rPr>
          <w:rFonts w:hint="eastAsia" w:ascii="仿宋" w:hAnsi="仿宋" w:eastAsia="仿宋" w:cs="仿宋"/>
          <w:sz w:val="24"/>
          <w:highlight w:val="none"/>
          <w:lang w:eastAsia="zh-CN"/>
        </w:rPr>
        <w:t>医保智能审核和DRG精细化管理系统</w:t>
      </w:r>
      <w:r>
        <w:rPr>
          <w:rFonts w:hint="eastAsia" w:ascii="仿宋" w:hAnsi="仿宋" w:eastAsia="仿宋" w:cs="仿宋"/>
          <w:sz w:val="24"/>
          <w:highlight w:val="none"/>
        </w:rPr>
        <w:t>建设，覆盖临床端、管理端全功能要求</w:t>
      </w:r>
      <w:r>
        <w:rPr>
          <w:rFonts w:hint="eastAsia" w:ascii="仿宋" w:hAnsi="仿宋" w:eastAsia="仿宋" w:cs="仿宋"/>
          <w:sz w:val="24"/>
          <w:szCs w:val="24"/>
          <w:highlight w:val="none"/>
        </w:rPr>
        <w:t>。</w:t>
      </w:r>
    </w:p>
    <w:p w14:paraId="03F5E8DA">
      <w:pPr>
        <w:keepNext w:val="0"/>
        <w:keepLines w:val="0"/>
        <w:pageBreakBefore w:val="0"/>
        <w:numPr>
          <w:ilvl w:val="0"/>
          <w:numId w:val="37"/>
        </w:numPr>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无条件配合 HIS 系统对接，确保数据实时同步、无错乱；</w:t>
      </w:r>
    </w:p>
    <w:p w14:paraId="27A2BEBC">
      <w:pPr>
        <w:keepNext w:val="0"/>
        <w:keepLines w:val="0"/>
        <w:pageBreakBefore w:val="0"/>
        <w:numPr>
          <w:ilvl w:val="0"/>
          <w:numId w:val="37"/>
        </w:numPr>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免费服务期</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提供7×12小时技术支持，重大问题2小时响应，一般问题24小时解决。</w:t>
      </w:r>
    </w:p>
    <w:p w14:paraId="4504D7B0">
      <w:pPr>
        <w:keepNext w:val="0"/>
        <w:keepLines w:val="0"/>
        <w:pageBreakBefore w:val="0"/>
        <w:numPr>
          <w:ilvl w:val="0"/>
          <w:numId w:val="37"/>
        </w:numPr>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每年</w:t>
      </w:r>
      <w:r>
        <w:rPr>
          <w:rFonts w:hint="eastAsia" w:ascii="仿宋" w:hAnsi="仿宋" w:eastAsia="仿宋" w:cs="仿宋"/>
          <w:sz w:val="24"/>
          <w:highlight w:val="none"/>
        </w:rPr>
        <w:t>提供不少于</w:t>
      </w:r>
      <w:r>
        <w:rPr>
          <w:rFonts w:hint="eastAsia" w:ascii="仿宋" w:hAnsi="仿宋" w:eastAsia="仿宋" w:cs="仿宋"/>
          <w:sz w:val="24"/>
          <w:highlight w:val="none"/>
          <w:lang w:val="en-US" w:eastAsia="zh-CN"/>
        </w:rPr>
        <w:t>4</w:t>
      </w:r>
      <w:r>
        <w:rPr>
          <w:rFonts w:hint="eastAsia" w:ascii="仿宋" w:hAnsi="仿宋" w:eastAsia="仿宋" w:cs="仿宋"/>
          <w:sz w:val="24"/>
          <w:highlight w:val="none"/>
        </w:rPr>
        <w:t>次免费现场复训，新员工入职、业务流程变更或其他招标人需要的情况免费适配；配合医院开展医保检查、自查自纠、模拟飞检等相关工作，提供专项培训与现场辅导，不另行收取费用。</w:t>
      </w:r>
    </w:p>
    <w:p w14:paraId="6908E5C3">
      <w:pPr>
        <w:keepNext w:val="0"/>
        <w:keepLines w:val="0"/>
        <w:pageBreakBefore w:val="0"/>
        <w:numPr>
          <w:ilvl w:val="0"/>
          <w:numId w:val="37"/>
        </w:numPr>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highlight w:val="none"/>
        </w:rPr>
      </w:pPr>
      <w:r>
        <w:rPr>
          <w:rFonts w:hint="eastAsia" w:ascii="仿宋" w:hAnsi="仿宋" w:eastAsia="仿宋" w:cs="仿宋"/>
          <w:sz w:val="24"/>
          <w:highlight w:val="none"/>
        </w:rPr>
        <w:t>本地化服务团队常驻成都；</w:t>
      </w:r>
    </w:p>
    <w:p w14:paraId="0DCFF41B">
      <w:pPr>
        <w:keepNext w:val="0"/>
        <w:keepLines w:val="0"/>
        <w:pageBreakBefore w:val="0"/>
        <w:numPr>
          <w:ilvl w:val="0"/>
          <w:numId w:val="37"/>
        </w:numPr>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highlight w:val="none"/>
        </w:rPr>
        <w:t>所有提交材料真实有效，如有虚假愿承担全部法律责任</w:t>
      </w:r>
      <w:r>
        <w:rPr>
          <w:rFonts w:hint="eastAsia" w:ascii="仿宋" w:hAnsi="仿宋" w:eastAsia="仿宋" w:cs="仿宋"/>
          <w:sz w:val="24"/>
          <w:szCs w:val="24"/>
          <w:highlight w:val="none"/>
        </w:rPr>
        <w:t>。</w:t>
      </w:r>
    </w:p>
    <w:p w14:paraId="088A26E6">
      <w:pPr>
        <w:pStyle w:val="45"/>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highlight w:val="none"/>
        </w:rPr>
      </w:pPr>
    </w:p>
    <w:p w14:paraId="39D98EBB">
      <w:pPr>
        <w:pStyle w:val="45"/>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highlight w:val="none"/>
        </w:rPr>
      </w:pPr>
    </w:p>
    <w:p w14:paraId="461E2431">
      <w:pPr>
        <w:shd w:val="clear"/>
        <w:spacing w:line="360" w:lineRule="auto"/>
        <w:ind w:left="420"/>
        <w:rPr>
          <w:rFonts w:hint="eastAsia" w:ascii="仿宋" w:hAnsi="仿宋" w:eastAsia="仿宋" w:cs="仿宋"/>
          <w:spacing w:val="6"/>
          <w:sz w:val="24"/>
          <w:szCs w:val="24"/>
          <w:highlight w:val="none"/>
        </w:rPr>
      </w:pPr>
    </w:p>
    <w:p w14:paraId="42AFC681">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投标人名称：xxxx有限公司（加盖公章）</w:t>
      </w:r>
    </w:p>
    <w:p w14:paraId="7227F870">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3123EE48">
      <w:pPr>
        <w:shd w:val="clear"/>
        <w:jc w:val="righ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法定代表人或委托代理人签字：</w:t>
      </w:r>
      <w:r>
        <w:rPr>
          <w:rFonts w:hint="eastAsia" w:ascii="仿宋" w:hAnsi="仿宋" w:eastAsia="仿宋" w:cs="仿宋"/>
          <w:sz w:val="24"/>
          <w:szCs w:val="24"/>
          <w:highlight w:val="none"/>
          <w:lang w:val="en-US" w:eastAsia="zh-CN"/>
        </w:rPr>
        <w:t xml:space="preserve">        </w:t>
      </w:r>
    </w:p>
    <w:p w14:paraId="6DD82499">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641E5B87">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签署</w:t>
      </w:r>
      <w:r>
        <w:rPr>
          <w:rFonts w:hint="eastAsia" w:ascii="仿宋" w:hAnsi="仿宋" w:eastAsia="仿宋" w:cs="仿宋"/>
          <w:sz w:val="24"/>
          <w:szCs w:val="24"/>
          <w:highlight w:val="none"/>
          <w:lang w:eastAsia="zh-CN"/>
        </w:rPr>
        <w:t xml:space="preserve">日期：      年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 xml:space="preserve"> 月</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日</w:t>
      </w:r>
    </w:p>
    <w:p w14:paraId="7D2FF7F3">
      <w:pPr>
        <w:pStyle w:val="10"/>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p w14:paraId="63E94729">
      <w:pPr>
        <w:shd w:val="clear"/>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321C5448">
      <w:pPr>
        <w:pStyle w:val="3"/>
        <w:shd w:val="clear"/>
        <w:rPr>
          <w:rFonts w:hint="eastAsia" w:ascii="仿宋" w:hAnsi="仿宋" w:eastAsia="仿宋" w:cs="仿宋"/>
          <w:highlight w:val="none"/>
          <w:lang w:val="en-US" w:eastAsia="zh-CN"/>
        </w:rPr>
      </w:pPr>
      <w:bookmarkStart w:id="234" w:name="_Toc18434"/>
      <w:bookmarkStart w:id="235" w:name="_Toc9716"/>
      <w:bookmarkStart w:id="236" w:name="_Toc7078"/>
      <w:bookmarkStart w:id="237" w:name="_Toc2038"/>
      <w:bookmarkStart w:id="238" w:name="_Toc19093"/>
      <w:bookmarkStart w:id="239" w:name="_Toc7606"/>
      <w:r>
        <w:rPr>
          <w:rFonts w:hint="eastAsia" w:ascii="仿宋" w:hAnsi="仿宋" w:eastAsia="仿宋" w:cs="仿宋"/>
          <w:highlight w:val="none"/>
          <w:lang w:val="en-US" w:eastAsia="zh-CN"/>
        </w:rPr>
        <w:t>附件10：自投标截止之日起倒算36个月内无重大违法记录承诺书</w:t>
      </w:r>
      <w:bookmarkEnd w:id="234"/>
      <w:bookmarkEnd w:id="235"/>
      <w:bookmarkEnd w:id="236"/>
      <w:bookmarkEnd w:id="237"/>
      <w:bookmarkEnd w:id="238"/>
      <w:bookmarkEnd w:id="239"/>
    </w:p>
    <w:p w14:paraId="7AF7A744">
      <w:pPr>
        <w:keepNext w:val="0"/>
        <w:keepLines w:val="0"/>
        <w:pageBreakBefore w:val="0"/>
        <w:shd w:val="clear"/>
        <w:kinsoku/>
        <w:wordWrap/>
        <w:overflowPunct/>
        <w:topLinePunct w:val="0"/>
        <w:autoSpaceDE/>
        <w:bidi w:val="0"/>
        <w:adjustRightInd/>
        <w:snapToGrid/>
        <w:spacing w:before="160" w:after="160"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自投标截止之日起倒算36个月内</w:t>
      </w:r>
      <w:r>
        <w:rPr>
          <w:rFonts w:hint="eastAsia" w:ascii="仿宋" w:hAnsi="仿宋" w:eastAsia="仿宋" w:cs="仿宋"/>
          <w:sz w:val="24"/>
          <w:szCs w:val="24"/>
          <w:highlight w:val="none"/>
        </w:rPr>
        <w:t>无重大违法记录承诺书</w:t>
      </w:r>
      <w:r>
        <w:rPr>
          <w:rFonts w:hint="eastAsia" w:ascii="仿宋" w:hAnsi="仿宋" w:eastAsia="仿宋" w:cs="仿宋"/>
          <w:sz w:val="24"/>
          <w:szCs w:val="24"/>
          <w:highlight w:val="none"/>
          <w:lang w:eastAsia="zh-CN"/>
        </w:rPr>
        <w:t>》</w:t>
      </w:r>
    </w:p>
    <w:p w14:paraId="1401A001">
      <w:pPr>
        <w:keepNext w:val="0"/>
        <w:keepLines w:val="0"/>
        <w:pageBreakBefore w:val="0"/>
        <w:widowControl w:val="0"/>
        <w:shd w:val="clear"/>
        <w:kinsoku/>
        <w:wordWrap/>
        <w:overflowPunct/>
        <w:topLinePunct w:val="0"/>
        <w:autoSpaceDE/>
        <w:autoSpaceDN/>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成都三博东篱医院有限公司        </w:t>
      </w:r>
    </w:p>
    <w:p w14:paraId="23D2C653">
      <w:pPr>
        <w:keepNext w:val="0"/>
        <w:keepLines w:val="0"/>
        <w:pageBreakBefore w:val="0"/>
        <w:widowControl w:val="0"/>
        <w:shd w:val="clea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我单位</w:t>
      </w:r>
      <w:r>
        <w:rPr>
          <w:rFonts w:hint="eastAsia" w:ascii="仿宋" w:hAnsi="仿宋" w:eastAsia="仿宋" w:cs="仿宋"/>
          <w:sz w:val="24"/>
          <w:szCs w:val="24"/>
          <w:highlight w:val="none"/>
          <w:lang w:eastAsia="zh-CN"/>
        </w:rPr>
        <w:t>自投标截止之日起倒算36个月</w:t>
      </w:r>
      <w:r>
        <w:rPr>
          <w:rFonts w:hint="eastAsia" w:ascii="仿宋" w:hAnsi="仿宋" w:eastAsia="仿宋" w:cs="仿宋"/>
          <w:sz w:val="24"/>
          <w:szCs w:val="24"/>
          <w:highlight w:val="none"/>
        </w:rPr>
        <w:t>内，在经营活动中没有重大违法记录，特此承诺。</w:t>
      </w:r>
    </w:p>
    <w:p w14:paraId="0EFBDDAA">
      <w:pPr>
        <w:keepNext w:val="0"/>
        <w:keepLines w:val="0"/>
        <w:pageBreakBefore w:val="0"/>
        <w:widowControl w:val="0"/>
        <w:shd w:val="clea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若招标采购单位在本项采购过程中发现我单位</w:t>
      </w:r>
      <w:r>
        <w:rPr>
          <w:rFonts w:hint="eastAsia" w:ascii="仿宋" w:hAnsi="仿宋" w:eastAsia="仿宋" w:cs="仿宋"/>
          <w:sz w:val="24"/>
          <w:szCs w:val="24"/>
          <w:highlight w:val="none"/>
          <w:lang w:eastAsia="zh-CN"/>
        </w:rPr>
        <w:t>自投标截止之日起倒算36个月</w:t>
      </w:r>
      <w:r>
        <w:rPr>
          <w:rFonts w:hint="eastAsia" w:ascii="仿宋" w:hAnsi="仿宋" w:eastAsia="仿宋" w:cs="仿宋"/>
          <w:sz w:val="24"/>
          <w:szCs w:val="24"/>
          <w:highlight w:val="none"/>
        </w:rPr>
        <w:t>内在经营活动中有重大违法记录，我单位将无条件地退出本项目的招标，并承担因此引起的一切后果。</w:t>
      </w:r>
    </w:p>
    <w:p w14:paraId="4699CE72">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96E34B2">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3641F46F">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16AB9871">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716B9AFE">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投标人名称：xxxx有限公司（加盖公章）</w:t>
      </w:r>
    </w:p>
    <w:p w14:paraId="237F2AB0">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1547DBBB">
      <w:pPr>
        <w:shd w:val="clear"/>
        <w:jc w:val="righ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法定代表人或委托代理人签字：</w:t>
      </w:r>
      <w:r>
        <w:rPr>
          <w:rFonts w:hint="eastAsia" w:ascii="仿宋" w:hAnsi="仿宋" w:eastAsia="仿宋" w:cs="仿宋"/>
          <w:sz w:val="24"/>
          <w:szCs w:val="24"/>
          <w:highlight w:val="none"/>
          <w:lang w:val="en-US" w:eastAsia="zh-CN"/>
        </w:rPr>
        <w:t xml:space="preserve">        </w:t>
      </w:r>
    </w:p>
    <w:p w14:paraId="01F7B050">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0E5B2DC6">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签署</w:t>
      </w:r>
      <w:r>
        <w:rPr>
          <w:rFonts w:hint="eastAsia" w:ascii="仿宋" w:hAnsi="仿宋" w:eastAsia="仿宋" w:cs="仿宋"/>
          <w:sz w:val="24"/>
          <w:szCs w:val="24"/>
          <w:highlight w:val="none"/>
          <w:lang w:eastAsia="zh-CN"/>
        </w:rPr>
        <w:t xml:space="preserve">日期：      年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 xml:space="preserve"> 月</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日</w:t>
      </w:r>
    </w:p>
    <w:p w14:paraId="54EAF754">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01076BDE">
      <w:pPr>
        <w:pStyle w:val="3"/>
        <w:shd w:val="clear"/>
        <w:rPr>
          <w:rFonts w:hint="eastAsia" w:ascii="仿宋" w:hAnsi="仿宋" w:eastAsia="仿宋" w:cs="仿宋"/>
          <w:highlight w:val="none"/>
          <w:lang w:val="en-US" w:eastAsia="zh-CN"/>
        </w:rPr>
      </w:pPr>
      <w:bookmarkStart w:id="240" w:name="_Toc6018"/>
      <w:bookmarkStart w:id="241" w:name="_Toc18002"/>
      <w:bookmarkStart w:id="242" w:name="_Toc25993"/>
      <w:bookmarkStart w:id="243" w:name="_Toc8846"/>
      <w:bookmarkStart w:id="244" w:name="_Toc11615"/>
      <w:bookmarkStart w:id="245" w:name="_Toc11528"/>
      <w:r>
        <w:rPr>
          <w:rFonts w:hint="eastAsia" w:ascii="仿宋" w:hAnsi="仿宋" w:eastAsia="仿宋" w:cs="仿宋"/>
          <w:highlight w:val="none"/>
          <w:lang w:val="en-US" w:eastAsia="zh-CN"/>
        </w:rPr>
        <w:t>附件11：投标人身份证明格式（下列二选一）</w:t>
      </w:r>
      <w:bookmarkEnd w:id="240"/>
      <w:bookmarkEnd w:id="241"/>
      <w:bookmarkEnd w:id="242"/>
      <w:bookmarkEnd w:id="243"/>
      <w:bookmarkEnd w:id="244"/>
      <w:bookmarkEnd w:id="245"/>
    </w:p>
    <w:p w14:paraId="1D6BE4AF">
      <w:pPr>
        <w:keepNext w:val="0"/>
        <w:keepLines w:val="0"/>
        <w:pageBreakBefore w:val="0"/>
        <w:shd w:val="clear"/>
        <w:kinsoku/>
        <w:wordWrap/>
        <w:overflowPunct/>
        <w:topLinePunct w:val="0"/>
        <w:autoSpaceDE/>
        <w:bidi w:val="0"/>
        <w:adjustRightInd/>
        <w:snapToGrid/>
        <w:spacing w:before="160" w:after="160" w:line="360" w:lineRule="auto"/>
        <w:jc w:val="center"/>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法定代表人身份证明书</w:t>
      </w:r>
      <w:r>
        <w:rPr>
          <w:rFonts w:hint="eastAsia" w:ascii="仿宋" w:hAnsi="仿宋" w:eastAsia="仿宋" w:cs="仿宋"/>
          <w:sz w:val="24"/>
          <w:szCs w:val="24"/>
          <w:highlight w:val="none"/>
          <w:lang w:eastAsia="zh-CN"/>
        </w:rPr>
        <w:t>》</w:t>
      </w:r>
    </w:p>
    <w:p w14:paraId="3745EC0C">
      <w:pPr>
        <w:keepNext w:val="0"/>
        <w:keepLines w:val="0"/>
        <w:pageBreakBefore w:val="0"/>
        <w:shd w:val="clear"/>
        <w:kinsoku/>
        <w:wordWrap/>
        <w:overflowPunct/>
        <w:topLinePunct w:val="0"/>
        <w:autoSpaceDE/>
        <w:bidi w:val="0"/>
        <w:adjustRightInd/>
        <w:snapToGrid/>
        <w:spacing w:before="160" w:after="160"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lang w:val="en-US" w:eastAsia="zh-CN"/>
        </w:rPr>
        <w:t>/授权委托人</w:t>
      </w:r>
      <w:r>
        <w:rPr>
          <w:rFonts w:hint="eastAsia" w:ascii="仿宋" w:hAnsi="仿宋" w:eastAsia="仿宋" w:cs="仿宋"/>
          <w:sz w:val="24"/>
          <w:szCs w:val="24"/>
          <w:highlight w:val="none"/>
        </w:rPr>
        <w:t>出席开标会时</w:t>
      </w:r>
      <w:r>
        <w:rPr>
          <w:rFonts w:hint="eastAsia" w:ascii="仿宋" w:hAnsi="仿宋" w:eastAsia="仿宋" w:cs="仿宋"/>
          <w:sz w:val="24"/>
          <w:szCs w:val="24"/>
          <w:highlight w:val="none"/>
          <w:lang w:val="en-US" w:eastAsia="zh-CN"/>
        </w:rPr>
        <w:t>在标书外需另外单独</w:t>
      </w:r>
      <w:r>
        <w:rPr>
          <w:rFonts w:hint="eastAsia" w:ascii="仿宋" w:hAnsi="仿宋" w:eastAsia="仿宋" w:cs="仿宋"/>
          <w:sz w:val="24"/>
          <w:szCs w:val="24"/>
          <w:highlight w:val="none"/>
        </w:rPr>
        <w:t>出具此证明）</w:t>
      </w:r>
    </w:p>
    <w:p w14:paraId="76F42978">
      <w:pPr>
        <w:pStyle w:val="45"/>
        <w:keepNext w:val="0"/>
        <w:keepLines w:val="0"/>
        <w:pageBreakBefore w:val="0"/>
        <w:shd w:val="clear"/>
        <w:kinsoku/>
        <w:wordWrap/>
        <w:overflowPunct/>
        <w:topLinePunct w:val="0"/>
        <w:autoSpaceDE/>
        <w:bidi w:val="0"/>
        <w:adjustRightInd/>
        <w:snapToGrid/>
        <w:spacing w:before="160" w:after="160" w:line="360" w:lineRule="auto"/>
        <w:ind w:firstLine="437"/>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成都三博东篱医院有限公司：</w:t>
      </w:r>
    </w:p>
    <w:p w14:paraId="2524B28F">
      <w:pPr>
        <w:pStyle w:val="45"/>
        <w:keepNext w:val="0"/>
        <w:keepLines w:val="0"/>
        <w:pageBreakBefore w:val="0"/>
        <w:shd w:val="clear"/>
        <w:kinsoku/>
        <w:wordWrap/>
        <w:overflowPunct/>
        <w:topLinePunct w:val="0"/>
        <w:autoSpaceDE/>
        <w:bidi w:val="0"/>
        <w:adjustRightInd/>
        <w:snapToGrid/>
        <w:spacing w:before="160" w:after="160" w:line="360" w:lineRule="auto"/>
        <w:ind w:firstLine="437"/>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先生（女士），在我单位任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职务，是我单位的法定代表人。</w:t>
      </w:r>
    </w:p>
    <w:p w14:paraId="1B0F2B4C">
      <w:pPr>
        <w:pStyle w:val="45"/>
        <w:keepNext w:val="0"/>
        <w:keepLines w:val="0"/>
        <w:pageBreakBefore w:val="0"/>
        <w:shd w:val="clear"/>
        <w:kinsoku/>
        <w:wordWrap/>
        <w:overflowPunct/>
        <w:topLinePunct w:val="0"/>
        <w:autoSpaceDE/>
        <w:bidi w:val="0"/>
        <w:adjustRightInd/>
        <w:snapToGrid/>
        <w:spacing w:before="160" w:after="160" w:line="360" w:lineRule="auto"/>
        <w:ind w:firstLine="437"/>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 xml:space="preserve">   特此证明</w:t>
      </w:r>
      <w:r>
        <w:rPr>
          <w:rFonts w:hint="eastAsia" w:ascii="仿宋" w:hAnsi="仿宋" w:eastAsia="仿宋" w:cs="仿宋"/>
          <w:sz w:val="24"/>
          <w:szCs w:val="24"/>
          <w:highlight w:val="none"/>
          <w:lang w:eastAsia="zh-CN"/>
        </w:rPr>
        <w:t>！</w:t>
      </w:r>
    </w:p>
    <w:p w14:paraId="31A5799D">
      <w:pPr>
        <w:pStyle w:val="45"/>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 xml:space="preserve">   身份证号码：</w:t>
      </w:r>
      <w:r>
        <w:rPr>
          <w:rFonts w:hint="eastAsia" w:ascii="仿宋" w:hAnsi="仿宋" w:eastAsia="仿宋" w:cs="仿宋"/>
          <w:sz w:val="24"/>
          <w:szCs w:val="24"/>
          <w:highlight w:val="none"/>
          <w:u w:val="single"/>
        </w:rPr>
        <w:t xml:space="preserve">                                 </w:t>
      </w:r>
    </w:p>
    <w:p w14:paraId="0FCA9F36">
      <w:pPr>
        <w:pStyle w:val="45"/>
        <w:keepNext w:val="0"/>
        <w:keepLines w:val="0"/>
        <w:pageBreakBefore w:val="0"/>
        <w:shd w:val="clear"/>
        <w:kinsoku/>
        <w:wordWrap/>
        <w:overflowPunct/>
        <w:topLinePunct w:val="0"/>
        <w:autoSpaceDE/>
        <w:bidi w:val="0"/>
        <w:adjustRightInd/>
        <w:snapToGrid/>
        <w:spacing w:before="160" w:after="160" w:line="360" w:lineRule="auto"/>
        <w:ind w:firstLine="240" w:firstLineChars="100"/>
        <w:textAlignment w:val="auto"/>
        <w:rPr>
          <w:rFonts w:hint="eastAsia" w:ascii="仿宋" w:hAnsi="仿宋" w:eastAsia="仿宋" w:cs="仿宋"/>
          <w:sz w:val="24"/>
          <w:szCs w:val="24"/>
          <w:highlight w:val="none"/>
        </w:rPr>
      </w:pPr>
    </w:p>
    <w:p w14:paraId="3A5CBC05">
      <w:pPr>
        <w:pStyle w:val="45"/>
        <w:keepNext w:val="0"/>
        <w:keepLines w:val="0"/>
        <w:pageBreakBefore w:val="0"/>
        <w:shd w:val="clear"/>
        <w:kinsoku/>
        <w:wordWrap/>
        <w:overflowPunct/>
        <w:topLinePunct w:val="0"/>
        <w:autoSpaceDE/>
        <w:bidi w:val="0"/>
        <w:adjustRightInd/>
        <w:snapToGrid/>
        <w:spacing w:before="160" w:after="160" w:line="360" w:lineRule="auto"/>
        <w:ind w:firstLine="240" w:firstLineChars="100"/>
        <w:textAlignment w:val="auto"/>
        <w:rPr>
          <w:rFonts w:hint="eastAsia" w:ascii="仿宋" w:hAnsi="仿宋" w:eastAsia="仿宋" w:cs="仿宋"/>
          <w:sz w:val="24"/>
          <w:szCs w:val="24"/>
          <w:highlight w:val="none"/>
        </w:rPr>
      </w:pPr>
    </w:p>
    <w:p w14:paraId="1768D0CC">
      <w:pPr>
        <w:pStyle w:val="45"/>
        <w:keepNext w:val="0"/>
        <w:keepLines w:val="0"/>
        <w:pageBreakBefore w:val="0"/>
        <w:shd w:val="clear"/>
        <w:kinsoku/>
        <w:wordWrap/>
        <w:overflowPunct/>
        <w:topLinePunct w:val="0"/>
        <w:autoSpaceDE/>
        <w:bidi w:val="0"/>
        <w:adjustRightInd/>
        <w:snapToGrid/>
        <w:spacing w:before="160" w:after="160" w:line="360" w:lineRule="auto"/>
        <w:ind w:firstLine="240" w:firstLineChars="100"/>
        <w:textAlignment w:val="auto"/>
        <w:rPr>
          <w:rFonts w:hint="eastAsia" w:ascii="仿宋" w:hAnsi="仿宋" w:eastAsia="仿宋" w:cs="仿宋"/>
          <w:sz w:val="24"/>
          <w:szCs w:val="24"/>
          <w:highlight w:val="none"/>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8"/>
        <w:gridCol w:w="4320"/>
      </w:tblGrid>
      <w:tr w14:paraId="718C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87" w:hRule="atLeast"/>
          <w:jc w:val="center"/>
        </w:trPr>
        <w:tc>
          <w:tcPr>
            <w:tcW w:w="4068" w:type="dxa"/>
            <w:vAlign w:val="center"/>
          </w:tcPr>
          <w:p w14:paraId="087F77B9">
            <w:pPr>
              <w:pStyle w:val="45"/>
              <w:keepNext w:val="0"/>
              <w:keepLines w:val="0"/>
              <w:pageBreakBefore w:val="0"/>
              <w:suppressLineNumbers w:val="0"/>
              <w:shd w:val="clear"/>
              <w:kinsoku/>
              <w:wordWrap/>
              <w:overflowPunct/>
              <w:topLinePunct w:val="0"/>
              <w:autoSpaceDE/>
              <w:bidi w:val="0"/>
              <w:adjustRightInd/>
              <w:snapToGrid/>
              <w:spacing w:before="160" w:beforeAutospacing="0" w:after="160" w:afterAutospacing="0" w:line="360" w:lineRule="auto"/>
              <w:ind w:left="0" w:right="0" w:firstLine="240" w:firstLineChars="10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法人身份证复印件粘贴处</w:t>
            </w:r>
          </w:p>
          <w:p w14:paraId="6378D236">
            <w:pPr>
              <w:pStyle w:val="45"/>
              <w:keepNext w:val="0"/>
              <w:keepLines w:val="0"/>
              <w:pageBreakBefore w:val="0"/>
              <w:widowControl/>
              <w:suppressLineNumbers w:val="0"/>
              <w:shd w:val="clear"/>
              <w:kinsoku/>
              <w:wordWrap/>
              <w:overflowPunct/>
              <w:topLinePunct w:val="0"/>
              <w:autoSpaceDE/>
              <w:bidi w:val="0"/>
              <w:adjustRightInd/>
              <w:snapToGrid/>
              <w:spacing w:before="160" w:beforeAutospacing="0" w:after="160" w:afterAutospacing="0" w:line="360" w:lineRule="auto"/>
              <w:ind w:left="1200" w:right="0" w:hanging="1200" w:hangingChars="500"/>
              <w:jc w:val="center"/>
              <w:textAlignment w:val="auto"/>
              <w:rPr>
                <w:rFonts w:hint="eastAsia" w:ascii="仿宋" w:hAnsi="仿宋" w:eastAsia="仿宋" w:cs="仿宋"/>
                <w:kern w:val="0"/>
                <w:sz w:val="24"/>
                <w:szCs w:val="24"/>
                <w:highlight w:val="none"/>
              </w:rPr>
            </w:pPr>
            <w:r>
              <w:rPr>
                <w:rFonts w:hint="eastAsia" w:ascii="仿宋" w:hAnsi="仿宋" w:eastAsia="仿宋" w:cs="仿宋"/>
                <w:sz w:val="24"/>
                <w:szCs w:val="24"/>
                <w:highlight w:val="none"/>
              </w:rPr>
              <w:t>（正面）</w:t>
            </w:r>
          </w:p>
        </w:tc>
        <w:tc>
          <w:tcPr>
            <w:tcW w:w="4320" w:type="dxa"/>
            <w:vAlign w:val="center"/>
          </w:tcPr>
          <w:p w14:paraId="1907F2FB">
            <w:pPr>
              <w:pStyle w:val="45"/>
              <w:keepNext w:val="0"/>
              <w:keepLines w:val="0"/>
              <w:pageBreakBefore w:val="0"/>
              <w:suppressLineNumbers w:val="0"/>
              <w:shd w:val="clear"/>
              <w:kinsoku/>
              <w:wordWrap/>
              <w:overflowPunct/>
              <w:topLinePunct w:val="0"/>
              <w:autoSpaceDE/>
              <w:bidi w:val="0"/>
              <w:adjustRightInd/>
              <w:snapToGrid/>
              <w:spacing w:before="160" w:beforeAutospacing="0" w:after="160" w:afterAutospacing="0" w:line="360" w:lineRule="auto"/>
              <w:ind w:left="0" w:right="0" w:firstLine="240" w:firstLineChars="10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身份证复印件粘贴处</w:t>
            </w:r>
          </w:p>
          <w:p w14:paraId="4FA53B79">
            <w:pPr>
              <w:pStyle w:val="45"/>
              <w:keepNext w:val="0"/>
              <w:keepLines w:val="0"/>
              <w:pageBreakBefore w:val="0"/>
              <w:widowControl/>
              <w:suppressLineNumbers w:val="0"/>
              <w:shd w:val="clear"/>
              <w:kinsoku/>
              <w:wordWrap/>
              <w:overflowPunct/>
              <w:topLinePunct w:val="0"/>
              <w:autoSpaceDE/>
              <w:bidi w:val="0"/>
              <w:adjustRightInd/>
              <w:snapToGrid/>
              <w:spacing w:before="160" w:beforeAutospacing="0" w:after="160" w:afterAutospacing="0" w:line="360" w:lineRule="auto"/>
              <w:ind w:left="1200" w:right="0" w:hanging="1200" w:hangingChars="500"/>
              <w:jc w:val="center"/>
              <w:textAlignment w:val="auto"/>
              <w:rPr>
                <w:rFonts w:hint="eastAsia" w:ascii="仿宋" w:hAnsi="仿宋" w:eastAsia="仿宋" w:cs="仿宋"/>
                <w:kern w:val="0"/>
                <w:sz w:val="24"/>
                <w:szCs w:val="24"/>
                <w:highlight w:val="none"/>
              </w:rPr>
            </w:pPr>
            <w:r>
              <w:rPr>
                <w:rFonts w:hint="eastAsia" w:ascii="仿宋" w:hAnsi="仿宋" w:eastAsia="仿宋" w:cs="仿宋"/>
                <w:sz w:val="24"/>
                <w:szCs w:val="24"/>
                <w:highlight w:val="none"/>
              </w:rPr>
              <w:t>（背面）</w:t>
            </w:r>
          </w:p>
        </w:tc>
      </w:tr>
    </w:tbl>
    <w:p w14:paraId="4D09A495">
      <w:pPr>
        <w:pStyle w:val="45"/>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295A21C4">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投标人名称：xxxx有限公司（加盖公章）</w:t>
      </w:r>
    </w:p>
    <w:p w14:paraId="38103B93">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66DBD7C5">
      <w:pPr>
        <w:shd w:val="clear"/>
        <w:jc w:val="righ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法定代表人或委托代理人签字：</w:t>
      </w:r>
      <w:r>
        <w:rPr>
          <w:rFonts w:hint="eastAsia" w:ascii="仿宋" w:hAnsi="仿宋" w:eastAsia="仿宋" w:cs="仿宋"/>
          <w:sz w:val="24"/>
          <w:szCs w:val="24"/>
          <w:highlight w:val="none"/>
          <w:lang w:val="en-US" w:eastAsia="zh-CN"/>
        </w:rPr>
        <w:t xml:space="preserve">        </w:t>
      </w:r>
    </w:p>
    <w:p w14:paraId="53B11651">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2482390C">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签署</w:t>
      </w:r>
      <w:r>
        <w:rPr>
          <w:rFonts w:hint="eastAsia" w:ascii="仿宋" w:hAnsi="仿宋" w:eastAsia="仿宋" w:cs="仿宋"/>
          <w:sz w:val="24"/>
          <w:szCs w:val="24"/>
          <w:highlight w:val="none"/>
          <w:lang w:eastAsia="zh-CN"/>
        </w:rPr>
        <w:t xml:space="preserve">日期：      年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 xml:space="preserve"> 月</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日</w:t>
      </w:r>
    </w:p>
    <w:p w14:paraId="6115E5BE">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788A72B6">
      <w:pPr>
        <w:keepNext w:val="0"/>
        <w:keepLines w:val="0"/>
        <w:pageBreakBefore w:val="0"/>
        <w:shd w:val="clear"/>
        <w:kinsoku/>
        <w:wordWrap/>
        <w:overflowPunct/>
        <w:topLinePunct w:val="0"/>
        <w:autoSpaceDE/>
        <w:bidi w:val="0"/>
        <w:adjustRightInd/>
        <w:snapToGrid/>
        <w:spacing w:before="160" w:after="160" w:line="360" w:lineRule="auto"/>
        <w:jc w:val="center"/>
        <w:textAlignment w:val="auto"/>
        <w:outlineLvl w:val="9"/>
        <w:rPr>
          <w:rFonts w:hint="eastAsia" w:ascii="仿宋" w:hAnsi="仿宋" w:eastAsia="仿宋" w:cs="仿宋"/>
          <w:b w:val="0"/>
          <w:bCs w:val="0"/>
          <w:sz w:val="24"/>
          <w:szCs w:val="24"/>
          <w:highlight w:val="none"/>
          <w:lang w:eastAsia="zh-CN"/>
        </w:rPr>
      </w:pPr>
      <w:r>
        <w:rPr>
          <w:rFonts w:hint="eastAsia" w:ascii="仿宋" w:hAnsi="仿宋" w:eastAsia="仿宋" w:cs="仿宋"/>
          <w:sz w:val="24"/>
          <w:szCs w:val="24"/>
          <w:highlight w:val="none"/>
        </w:rPr>
        <w:br w:type="page"/>
      </w:r>
      <w:bookmarkStart w:id="246" w:name="_Toc27536"/>
      <w:bookmarkStart w:id="247" w:name="_Toc10492"/>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法人授权委托书</w:t>
      </w:r>
      <w:bookmarkEnd w:id="246"/>
      <w:bookmarkEnd w:id="247"/>
      <w:r>
        <w:rPr>
          <w:rFonts w:hint="eastAsia" w:ascii="仿宋" w:hAnsi="仿宋" w:eastAsia="仿宋" w:cs="仿宋"/>
          <w:b w:val="0"/>
          <w:bCs w:val="0"/>
          <w:sz w:val="24"/>
          <w:szCs w:val="24"/>
          <w:highlight w:val="none"/>
          <w:lang w:eastAsia="zh-CN"/>
        </w:rPr>
        <w:t>》</w:t>
      </w:r>
    </w:p>
    <w:p w14:paraId="138374EC">
      <w:pPr>
        <w:keepNext w:val="0"/>
        <w:keepLines w:val="0"/>
        <w:pageBreakBefore w:val="0"/>
        <w:shd w:val="clear"/>
        <w:kinsoku/>
        <w:wordWrap/>
        <w:overflowPunct/>
        <w:topLinePunct w:val="0"/>
        <w:autoSpaceDE/>
        <w:bidi w:val="0"/>
        <w:adjustRightInd/>
        <w:snapToGrid/>
        <w:spacing w:before="160" w:after="160" w:line="360" w:lineRule="auto"/>
        <w:ind w:firstLine="480" w:firstLineChars="20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（法定代表人授权委托人出席开标会时出</w:t>
      </w:r>
      <w:r>
        <w:rPr>
          <w:rFonts w:hint="eastAsia" w:ascii="仿宋" w:hAnsi="仿宋" w:eastAsia="仿宋" w:cs="仿宋"/>
          <w:sz w:val="24"/>
          <w:szCs w:val="24"/>
          <w:highlight w:val="none"/>
          <w:lang w:val="en-US" w:eastAsia="zh-CN"/>
        </w:rPr>
        <w:t>在标书外需另外</w:t>
      </w:r>
      <w:r>
        <w:rPr>
          <w:rFonts w:hint="eastAsia" w:ascii="仿宋" w:hAnsi="仿宋" w:eastAsia="仿宋" w:cs="仿宋"/>
          <w:sz w:val="24"/>
          <w:szCs w:val="24"/>
          <w:highlight w:val="none"/>
        </w:rPr>
        <w:t>具此委托书）</w:t>
      </w:r>
    </w:p>
    <w:p w14:paraId="7FAB4D42">
      <w:pPr>
        <w:keepNext w:val="0"/>
        <w:keepLines w:val="0"/>
        <w:pageBreakBefore w:val="0"/>
        <w:shd w:val="clear"/>
        <w:kinsoku/>
        <w:wordWrap/>
        <w:overflowPunct/>
        <w:topLinePunct w:val="0"/>
        <w:autoSpaceDE/>
        <w:bidi w:val="0"/>
        <w:adjustRightInd/>
        <w:snapToGrid/>
        <w:spacing w:before="160" w:after="160" w:line="360" w:lineRule="auto"/>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本授权委托书声明：</w:t>
      </w:r>
    </w:p>
    <w:p w14:paraId="030C2199">
      <w:pPr>
        <w:keepNext w:val="0"/>
        <w:keepLines w:val="0"/>
        <w:pageBreakBefore w:val="0"/>
        <w:shd w:val="clear"/>
        <w:kinsoku/>
        <w:wordWrap/>
        <w:overflowPunct/>
        <w:topLinePunct w:val="0"/>
        <w:autoSpaceDE/>
        <w:bidi w:val="0"/>
        <w:adjustRightInd/>
        <w:snapToGrid/>
        <w:spacing w:before="160" w:after="160" w:line="360" w:lineRule="auto"/>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我</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（投标单位名称）的法定代表人，现授权委托我公司的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（姓名）为我公司代理人，以本公司的名义参加成都三博东篱医院</w:t>
      </w:r>
      <w:r>
        <w:rPr>
          <w:rFonts w:hint="eastAsia" w:ascii="仿宋" w:hAnsi="仿宋" w:eastAsia="仿宋" w:cs="仿宋"/>
          <w:sz w:val="24"/>
          <w:szCs w:val="24"/>
          <w:highlight w:val="none"/>
          <w:lang w:eastAsia="zh-CN"/>
        </w:rPr>
        <w:t>医保智能审核和DRG精细化管理系统</w:t>
      </w:r>
      <w:r>
        <w:rPr>
          <w:rFonts w:hint="eastAsia" w:ascii="仿宋" w:hAnsi="仿宋" w:eastAsia="仿宋" w:cs="仿宋"/>
          <w:sz w:val="24"/>
          <w:szCs w:val="24"/>
          <w:highlight w:val="none"/>
        </w:rPr>
        <w:t>建设项目（项目编号：</w:t>
      </w:r>
      <w:r>
        <w:rPr>
          <w:rFonts w:hint="eastAsia" w:ascii="仿宋" w:hAnsi="仿宋" w:eastAsia="仿宋" w:cs="仿宋"/>
          <w:sz w:val="24"/>
          <w:szCs w:val="24"/>
          <w:highlight w:val="none"/>
          <w:lang w:eastAsia="zh-CN"/>
        </w:rPr>
        <w:t>cddl-xxb-2026-031</w:t>
      </w:r>
      <w:r>
        <w:rPr>
          <w:rFonts w:hint="eastAsia" w:ascii="仿宋" w:hAnsi="仿宋" w:eastAsia="仿宋" w:cs="仿宋"/>
          <w:sz w:val="24"/>
          <w:szCs w:val="24"/>
          <w:highlight w:val="none"/>
        </w:rPr>
        <w:t>）招标投标活动。代理人在开标、评标、合同谈判过程中所签署的一切文件和处理与之有关的一切事务，我均予以承认。</w:t>
      </w:r>
    </w:p>
    <w:p w14:paraId="39FFEC8C">
      <w:pPr>
        <w:keepNext w:val="0"/>
        <w:keepLines w:val="0"/>
        <w:pageBreakBefore w:val="0"/>
        <w:shd w:val="clear"/>
        <w:kinsoku/>
        <w:wordWrap/>
        <w:overflowPunct/>
        <w:topLinePunct w:val="0"/>
        <w:autoSpaceDE/>
        <w:bidi w:val="0"/>
        <w:adjustRightInd/>
        <w:snapToGrid/>
        <w:spacing w:before="160" w:after="160"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代理人无转委权。特此委托。</w:t>
      </w:r>
    </w:p>
    <w:p w14:paraId="396084BF">
      <w:pPr>
        <w:keepNext w:val="0"/>
        <w:keepLines w:val="0"/>
        <w:pageBreakBefore w:val="0"/>
        <w:shd w:val="clear"/>
        <w:kinsoku/>
        <w:wordWrap/>
        <w:overflowPunct/>
        <w:topLinePunct w:val="0"/>
        <w:autoSpaceDE/>
        <w:bidi w:val="0"/>
        <w:adjustRightInd/>
        <w:snapToGrid/>
        <w:spacing w:before="160" w:after="160" w:line="360" w:lineRule="auto"/>
        <w:ind w:firstLine="630"/>
        <w:jc w:val="left"/>
        <w:textAlignment w:val="auto"/>
        <w:rPr>
          <w:rFonts w:hint="eastAsia" w:ascii="仿宋" w:hAnsi="仿宋" w:eastAsia="仿宋" w:cs="仿宋"/>
          <w:sz w:val="24"/>
          <w:szCs w:val="24"/>
          <w:highlight w:val="none"/>
        </w:rPr>
      </w:pPr>
    </w:p>
    <w:p w14:paraId="10C82229">
      <w:pPr>
        <w:keepNext w:val="0"/>
        <w:keepLines w:val="0"/>
        <w:pageBreakBefore w:val="0"/>
        <w:shd w:val="clear"/>
        <w:kinsoku/>
        <w:wordWrap/>
        <w:overflowPunct/>
        <w:topLinePunct w:val="0"/>
        <w:autoSpaceDE/>
        <w:bidi w:val="0"/>
        <w:adjustRightInd/>
        <w:snapToGrid/>
        <w:spacing w:before="160" w:after="160" w:line="360" w:lineRule="auto"/>
        <w:ind w:firstLine="629"/>
        <w:jc w:val="left"/>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年龄：</w:t>
      </w:r>
      <w:r>
        <w:rPr>
          <w:rFonts w:hint="eastAsia" w:ascii="仿宋" w:hAnsi="仿宋" w:eastAsia="仿宋" w:cs="仿宋"/>
          <w:sz w:val="24"/>
          <w:szCs w:val="24"/>
          <w:highlight w:val="none"/>
          <w:u w:val="single"/>
        </w:rPr>
        <w:t xml:space="preserve">        </w:t>
      </w:r>
    </w:p>
    <w:p w14:paraId="2158464D">
      <w:pPr>
        <w:keepNext w:val="0"/>
        <w:keepLines w:val="0"/>
        <w:pageBreakBefore w:val="0"/>
        <w:shd w:val="clear"/>
        <w:kinsoku/>
        <w:wordWrap/>
        <w:overflowPunct/>
        <w:topLinePunct w:val="0"/>
        <w:autoSpaceDE/>
        <w:bidi w:val="0"/>
        <w:adjustRightInd/>
        <w:snapToGrid/>
        <w:spacing w:before="160" w:after="160" w:line="360" w:lineRule="auto"/>
        <w:ind w:firstLine="629"/>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职务：</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4462B502">
      <w:pPr>
        <w:keepNext w:val="0"/>
        <w:keepLines w:val="0"/>
        <w:pageBreakBefore w:val="0"/>
        <w:shd w:val="clear"/>
        <w:kinsoku/>
        <w:wordWrap/>
        <w:overflowPunct/>
        <w:topLinePunct w:val="0"/>
        <w:autoSpaceDE/>
        <w:bidi w:val="0"/>
        <w:adjustRightInd/>
        <w:snapToGrid/>
        <w:spacing w:before="160" w:after="160" w:line="360" w:lineRule="auto"/>
        <w:jc w:val="left"/>
        <w:textAlignment w:val="auto"/>
        <w:rPr>
          <w:rFonts w:hint="eastAsia" w:ascii="仿宋" w:hAnsi="仿宋" w:eastAsia="仿宋" w:cs="仿宋"/>
          <w:sz w:val="24"/>
          <w:szCs w:val="24"/>
          <w:highlight w:val="none"/>
        </w:rPr>
      </w:pPr>
    </w:p>
    <w:p w14:paraId="29B1B623">
      <w:pPr>
        <w:keepNext w:val="0"/>
        <w:keepLines w:val="0"/>
        <w:pageBreakBefore w:val="0"/>
        <w:shd w:val="clear"/>
        <w:kinsoku/>
        <w:wordWrap/>
        <w:overflowPunct/>
        <w:topLinePunct w:val="0"/>
        <w:autoSpaceDE/>
        <w:bidi w:val="0"/>
        <w:adjustRightInd/>
        <w:snapToGrid/>
        <w:spacing w:before="160" w:after="160" w:line="360" w:lineRule="auto"/>
        <w:ind w:firstLine="720" w:firstLineChars="3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              法定代表人：（签字或盖章）</w:t>
      </w:r>
    </w:p>
    <w:p w14:paraId="147BEF42">
      <w:pPr>
        <w:keepNext w:val="0"/>
        <w:keepLines w:val="0"/>
        <w:pageBreakBefore w:val="0"/>
        <w:shd w:val="clear"/>
        <w:kinsoku/>
        <w:wordWrap/>
        <w:overflowPunct/>
        <w:topLinePunct w:val="0"/>
        <w:autoSpaceDE/>
        <w:bidi w:val="0"/>
        <w:adjustRightInd/>
        <w:snapToGrid/>
        <w:spacing w:before="160" w:after="160" w:line="360" w:lineRule="auto"/>
        <w:ind w:firstLine="1800" w:firstLineChars="750"/>
        <w:jc w:val="left"/>
        <w:textAlignment w:val="auto"/>
        <w:rPr>
          <w:rFonts w:hint="eastAsia" w:ascii="仿宋" w:hAnsi="仿宋" w:eastAsia="仿宋" w:cs="仿宋"/>
          <w:sz w:val="24"/>
          <w:szCs w:val="24"/>
          <w:highlight w:val="none"/>
        </w:rPr>
      </w:pPr>
    </w:p>
    <w:p w14:paraId="733B6F66">
      <w:pPr>
        <w:keepNext w:val="0"/>
        <w:keepLines w:val="0"/>
        <w:pageBreakBefore w:val="0"/>
        <w:shd w:val="clear"/>
        <w:kinsoku/>
        <w:wordWrap/>
        <w:overflowPunct/>
        <w:topLinePunct w:val="0"/>
        <w:autoSpaceDE/>
        <w:bidi w:val="0"/>
        <w:adjustRightInd/>
        <w:snapToGrid/>
        <w:spacing w:before="160" w:after="160" w:line="360" w:lineRule="auto"/>
        <w:ind w:firstLine="720" w:firstLineChars="3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日期：     年  月   日</w:t>
      </w:r>
    </w:p>
    <w:p w14:paraId="213C5E30">
      <w:pPr>
        <w:keepNext w:val="0"/>
        <w:keepLines w:val="0"/>
        <w:pageBreakBefore w:val="0"/>
        <w:shd w:val="clear"/>
        <w:kinsoku/>
        <w:wordWrap/>
        <w:overflowPunct/>
        <w:topLinePunct w:val="0"/>
        <w:autoSpaceDE/>
        <w:bidi w:val="0"/>
        <w:adjustRightInd/>
        <w:snapToGrid/>
        <w:spacing w:before="160" w:after="160" w:line="360" w:lineRule="auto"/>
        <w:ind w:firstLine="2640" w:firstLineChars="1100"/>
        <w:jc w:val="left"/>
        <w:textAlignment w:val="auto"/>
        <w:rPr>
          <w:rFonts w:hint="eastAsia" w:ascii="仿宋" w:hAnsi="仿宋" w:eastAsia="仿宋" w:cs="仿宋"/>
          <w:sz w:val="24"/>
          <w:szCs w:val="24"/>
          <w:highlight w:val="none"/>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8"/>
        <w:gridCol w:w="4320"/>
      </w:tblGrid>
      <w:tr w14:paraId="22FA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7" w:hRule="atLeast"/>
          <w:jc w:val="center"/>
        </w:trPr>
        <w:tc>
          <w:tcPr>
            <w:tcW w:w="4068" w:type="dxa"/>
            <w:vAlign w:val="center"/>
          </w:tcPr>
          <w:p w14:paraId="5B9942B9">
            <w:pPr>
              <w:pStyle w:val="45"/>
              <w:keepNext w:val="0"/>
              <w:keepLines w:val="0"/>
              <w:pageBreakBefore w:val="0"/>
              <w:suppressLineNumbers w:val="0"/>
              <w:shd w:val="clear"/>
              <w:kinsoku/>
              <w:wordWrap/>
              <w:overflowPunct/>
              <w:topLinePunct w:val="0"/>
              <w:autoSpaceDE/>
              <w:bidi w:val="0"/>
              <w:adjustRightInd/>
              <w:snapToGrid/>
              <w:spacing w:before="160" w:beforeAutospacing="0" w:after="160" w:afterAutospacing="0" w:line="360" w:lineRule="auto"/>
              <w:ind w:left="0" w:right="0" w:firstLine="240" w:firstLineChars="10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身份证复印件粘贴处</w:t>
            </w:r>
          </w:p>
          <w:p w14:paraId="17850C53">
            <w:pPr>
              <w:pStyle w:val="45"/>
              <w:keepNext w:val="0"/>
              <w:keepLines w:val="0"/>
              <w:pageBreakBefore w:val="0"/>
              <w:widowControl/>
              <w:suppressLineNumbers w:val="0"/>
              <w:shd w:val="clear"/>
              <w:kinsoku/>
              <w:wordWrap/>
              <w:overflowPunct/>
              <w:topLinePunct w:val="0"/>
              <w:autoSpaceDE/>
              <w:bidi w:val="0"/>
              <w:adjustRightInd/>
              <w:snapToGrid/>
              <w:spacing w:before="160" w:beforeAutospacing="0" w:after="160" w:afterAutospacing="0" w:line="360" w:lineRule="auto"/>
              <w:ind w:left="1200" w:right="0" w:hanging="1200" w:hangingChars="500"/>
              <w:jc w:val="center"/>
              <w:textAlignment w:val="auto"/>
              <w:rPr>
                <w:rFonts w:hint="eastAsia" w:ascii="仿宋" w:hAnsi="仿宋" w:eastAsia="仿宋" w:cs="仿宋"/>
                <w:kern w:val="0"/>
                <w:sz w:val="24"/>
                <w:szCs w:val="24"/>
                <w:highlight w:val="none"/>
              </w:rPr>
            </w:pPr>
            <w:r>
              <w:rPr>
                <w:rFonts w:hint="eastAsia" w:ascii="仿宋" w:hAnsi="仿宋" w:eastAsia="仿宋" w:cs="仿宋"/>
                <w:sz w:val="24"/>
                <w:szCs w:val="24"/>
                <w:highlight w:val="none"/>
              </w:rPr>
              <w:t>（正面）</w:t>
            </w:r>
          </w:p>
        </w:tc>
        <w:tc>
          <w:tcPr>
            <w:tcW w:w="4320" w:type="dxa"/>
            <w:vAlign w:val="center"/>
          </w:tcPr>
          <w:p w14:paraId="24AEA2D0">
            <w:pPr>
              <w:pStyle w:val="45"/>
              <w:keepNext w:val="0"/>
              <w:keepLines w:val="0"/>
              <w:pageBreakBefore w:val="0"/>
              <w:suppressLineNumbers w:val="0"/>
              <w:shd w:val="clear"/>
              <w:kinsoku/>
              <w:wordWrap/>
              <w:overflowPunct/>
              <w:topLinePunct w:val="0"/>
              <w:autoSpaceDE/>
              <w:bidi w:val="0"/>
              <w:adjustRightInd/>
              <w:snapToGrid/>
              <w:spacing w:before="160" w:beforeAutospacing="0" w:after="160" w:afterAutospacing="0" w:line="360" w:lineRule="auto"/>
              <w:ind w:left="0" w:right="0" w:firstLine="240" w:firstLineChars="10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身份证复印件粘贴处</w:t>
            </w:r>
          </w:p>
          <w:p w14:paraId="7AD13740">
            <w:pPr>
              <w:pStyle w:val="45"/>
              <w:keepNext w:val="0"/>
              <w:keepLines w:val="0"/>
              <w:pageBreakBefore w:val="0"/>
              <w:widowControl/>
              <w:suppressLineNumbers w:val="0"/>
              <w:shd w:val="clear"/>
              <w:kinsoku/>
              <w:wordWrap/>
              <w:overflowPunct/>
              <w:topLinePunct w:val="0"/>
              <w:autoSpaceDE/>
              <w:bidi w:val="0"/>
              <w:adjustRightInd/>
              <w:snapToGrid/>
              <w:spacing w:before="160" w:beforeAutospacing="0" w:after="160" w:afterAutospacing="0" w:line="360" w:lineRule="auto"/>
              <w:ind w:left="1200" w:right="0" w:hanging="1200" w:hangingChars="500"/>
              <w:jc w:val="center"/>
              <w:textAlignment w:val="auto"/>
              <w:rPr>
                <w:rFonts w:hint="eastAsia" w:ascii="仿宋" w:hAnsi="仿宋" w:eastAsia="仿宋" w:cs="仿宋"/>
                <w:kern w:val="0"/>
                <w:sz w:val="24"/>
                <w:szCs w:val="24"/>
                <w:highlight w:val="none"/>
              </w:rPr>
            </w:pPr>
            <w:r>
              <w:rPr>
                <w:rFonts w:hint="eastAsia" w:ascii="仿宋" w:hAnsi="仿宋" w:eastAsia="仿宋" w:cs="仿宋"/>
                <w:sz w:val="24"/>
                <w:szCs w:val="24"/>
                <w:highlight w:val="none"/>
              </w:rPr>
              <w:t>（背面）</w:t>
            </w:r>
          </w:p>
        </w:tc>
      </w:tr>
    </w:tbl>
    <w:p w14:paraId="3A35546A">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4902C8D9">
      <w:pPr>
        <w:pStyle w:val="3"/>
        <w:shd w:val="clear"/>
        <w:rPr>
          <w:rFonts w:hint="eastAsia" w:ascii="仿宋" w:hAnsi="仿宋" w:eastAsia="仿宋" w:cs="仿宋"/>
          <w:sz w:val="24"/>
          <w:szCs w:val="24"/>
          <w:highlight w:val="none"/>
        </w:rPr>
      </w:pPr>
      <w:bookmarkStart w:id="248" w:name="_Toc10611"/>
      <w:bookmarkStart w:id="249" w:name="_Toc7981"/>
      <w:bookmarkStart w:id="250" w:name="_Toc949"/>
      <w:bookmarkStart w:id="251" w:name="_Toc4406"/>
      <w:bookmarkStart w:id="252" w:name="_Toc19488"/>
      <w:r>
        <w:rPr>
          <w:rFonts w:hint="eastAsia" w:ascii="仿宋" w:hAnsi="仿宋" w:eastAsia="仿宋" w:cs="仿宋"/>
          <w:highlight w:val="none"/>
          <w:lang w:val="en-US" w:eastAsia="zh-CN"/>
        </w:rPr>
        <w:t>附件12：电子版投标文件密码（格式自拟）</w:t>
      </w:r>
      <w:bookmarkEnd w:id="248"/>
      <w:bookmarkEnd w:id="249"/>
      <w:bookmarkEnd w:id="250"/>
      <w:bookmarkEnd w:id="251"/>
      <w:bookmarkEnd w:id="252"/>
    </w:p>
    <w:p w14:paraId="411948EB">
      <w:pPr>
        <w:shd w:val="clear"/>
        <w:rPr>
          <w:rFonts w:hint="eastAsia" w:ascii="仿宋" w:hAnsi="仿宋" w:eastAsia="仿宋" w:cs="仿宋"/>
          <w:sz w:val="24"/>
          <w:highlight w:val="none"/>
        </w:rPr>
      </w:pPr>
    </w:p>
    <w:p w14:paraId="4377F41F">
      <w:pPr>
        <w:rPr>
          <w:rFonts w:hint="eastAsia" w:ascii="仿宋" w:hAnsi="仿宋" w:eastAsia="仿宋" w:cs="仿宋"/>
          <w:highlight w:val="none"/>
        </w:rPr>
      </w:pPr>
    </w:p>
    <w:p w14:paraId="656629DF">
      <w:pPr>
        <w:rPr>
          <w:rFonts w:hint="eastAsia" w:ascii="仿宋" w:hAnsi="仿宋" w:eastAsia="仿宋" w:cs="仿宋"/>
          <w:highlight w:val="none"/>
        </w:rPr>
      </w:pPr>
    </w:p>
    <w:p w14:paraId="7AE9C067">
      <w:pPr>
        <w:bidi w:val="0"/>
        <w:rPr>
          <w:rFonts w:hint="eastAsia" w:ascii="仿宋" w:hAnsi="仿宋" w:eastAsia="仿宋" w:cs="仿宋"/>
          <w:kern w:val="2"/>
          <w:sz w:val="21"/>
          <w:szCs w:val="24"/>
          <w:highlight w:val="none"/>
          <w:lang w:val="en-US" w:eastAsia="zh-CN" w:bidi="ar-SA"/>
        </w:rPr>
      </w:pPr>
    </w:p>
    <w:p w14:paraId="7A9B60A0">
      <w:pPr>
        <w:bidi w:val="0"/>
        <w:rPr>
          <w:rFonts w:hint="eastAsia" w:ascii="仿宋" w:hAnsi="仿宋" w:eastAsia="仿宋" w:cs="仿宋"/>
          <w:highlight w:val="none"/>
          <w:lang w:val="en-US" w:eastAsia="zh-CN"/>
        </w:rPr>
      </w:pPr>
    </w:p>
    <w:p w14:paraId="79BB9171">
      <w:pPr>
        <w:bidi w:val="0"/>
        <w:rPr>
          <w:rFonts w:hint="eastAsia" w:ascii="仿宋" w:hAnsi="仿宋" w:eastAsia="仿宋" w:cs="仿宋"/>
          <w:highlight w:val="none"/>
          <w:lang w:val="en-US" w:eastAsia="zh-CN"/>
        </w:rPr>
      </w:pPr>
    </w:p>
    <w:p w14:paraId="6E4DDABD">
      <w:pPr>
        <w:bidi w:val="0"/>
        <w:rPr>
          <w:rFonts w:hint="eastAsia" w:ascii="仿宋" w:hAnsi="仿宋" w:eastAsia="仿宋" w:cs="仿宋"/>
          <w:highlight w:val="none"/>
          <w:lang w:val="en-US" w:eastAsia="zh-CN"/>
        </w:rPr>
      </w:pPr>
    </w:p>
    <w:p w14:paraId="6E2F0C84">
      <w:pPr>
        <w:bidi w:val="0"/>
        <w:rPr>
          <w:rFonts w:hint="eastAsia" w:ascii="仿宋" w:hAnsi="仿宋" w:eastAsia="仿宋" w:cs="仿宋"/>
          <w:highlight w:val="none"/>
          <w:lang w:val="en-US" w:eastAsia="zh-CN"/>
        </w:rPr>
      </w:pPr>
    </w:p>
    <w:p w14:paraId="1D087301">
      <w:pPr>
        <w:bidi w:val="0"/>
        <w:rPr>
          <w:rFonts w:hint="eastAsia" w:ascii="仿宋" w:hAnsi="仿宋" w:eastAsia="仿宋" w:cs="仿宋"/>
          <w:highlight w:val="none"/>
          <w:lang w:val="en-US" w:eastAsia="zh-CN"/>
        </w:rPr>
      </w:pPr>
    </w:p>
    <w:p w14:paraId="6FAB1717">
      <w:pPr>
        <w:bidi w:val="0"/>
        <w:rPr>
          <w:rFonts w:hint="eastAsia" w:ascii="仿宋" w:hAnsi="仿宋" w:eastAsia="仿宋" w:cs="仿宋"/>
          <w:highlight w:val="none"/>
          <w:lang w:val="en-US" w:eastAsia="zh-CN"/>
        </w:rPr>
      </w:pPr>
    </w:p>
    <w:p w14:paraId="40F08B2A">
      <w:pPr>
        <w:bidi w:val="0"/>
        <w:rPr>
          <w:rFonts w:hint="eastAsia" w:ascii="仿宋" w:hAnsi="仿宋" w:eastAsia="仿宋" w:cs="仿宋"/>
          <w:highlight w:val="none"/>
          <w:lang w:val="en-US" w:eastAsia="zh-CN"/>
        </w:rPr>
      </w:pPr>
    </w:p>
    <w:p w14:paraId="52CE954F">
      <w:pPr>
        <w:bidi w:val="0"/>
        <w:rPr>
          <w:rFonts w:hint="eastAsia" w:ascii="仿宋" w:hAnsi="仿宋" w:eastAsia="仿宋" w:cs="仿宋"/>
          <w:highlight w:val="none"/>
          <w:lang w:val="en-US" w:eastAsia="zh-CN"/>
        </w:rPr>
      </w:pPr>
    </w:p>
    <w:p w14:paraId="6B92B62F">
      <w:pPr>
        <w:bidi w:val="0"/>
        <w:rPr>
          <w:rFonts w:hint="eastAsia" w:ascii="仿宋" w:hAnsi="仿宋" w:eastAsia="仿宋" w:cs="仿宋"/>
          <w:highlight w:val="none"/>
          <w:lang w:val="en-US" w:eastAsia="zh-CN"/>
        </w:rPr>
      </w:pPr>
    </w:p>
    <w:p w14:paraId="02A151AE">
      <w:pPr>
        <w:bidi w:val="0"/>
        <w:rPr>
          <w:rFonts w:hint="eastAsia" w:ascii="仿宋" w:hAnsi="仿宋" w:eastAsia="仿宋" w:cs="仿宋"/>
          <w:highlight w:val="none"/>
          <w:lang w:val="en-US" w:eastAsia="zh-CN"/>
        </w:rPr>
      </w:pPr>
    </w:p>
    <w:p w14:paraId="47B546B7">
      <w:pPr>
        <w:bidi w:val="0"/>
        <w:rPr>
          <w:rFonts w:hint="eastAsia" w:ascii="仿宋" w:hAnsi="仿宋" w:eastAsia="仿宋" w:cs="仿宋"/>
          <w:highlight w:val="none"/>
          <w:lang w:val="en-US" w:eastAsia="zh-CN"/>
        </w:rPr>
      </w:pPr>
    </w:p>
    <w:p w14:paraId="586BEC97">
      <w:pPr>
        <w:bidi w:val="0"/>
        <w:rPr>
          <w:rFonts w:hint="eastAsia" w:ascii="仿宋" w:hAnsi="仿宋" w:eastAsia="仿宋" w:cs="仿宋"/>
          <w:highlight w:val="none"/>
          <w:lang w:val="en-US" w:eastAsia="zh-CN"/>
        </w:rPr>
      </w:pPr>
    </w:p>
    <w:p w14:paraId="66064715">
      <w:pPr>
        <w:bidi w:val="0"/>
        <w:rPr>
          <w:rFonts w:hint="eastAsia" w:ascii="仿宋" w:hAnsi="仿宋" w:eastAsia="仿宋" w:cs="仿宋"/>
          <w:highlight w:val="none"/>
          <w:lang w:val="en-US" w:eastAsia="zh-CN"/>
        </w:rPr>
      </w:pPr>
    </w:p>
    <w:p w14:paraId="7676A350">
      <w:pPr>
        <w:bidi w:val="0"/>
        <w:rPr>
          <w:rFonts w:hint="eastAsia" w:ascii="仿宋" w:hAnsi="仿宋" w:eastAsia="仿宋" w:cs="仿宋"/>
          <w:highlight w:val="none"/>
          <w:lang w:val="en-US" w:eastAsia="zh-CN"/>
        </w:rPr>
      </w:pPr>
    </w:p>
    <w:p w14:paraId="377DF040">
      <w:pPr>
        <w:bidi w:val="0"/>
        <w:rPr>
          <w:rFonts w:hint="eastAsia" w:ascii="仿宋" w:hAnsi="仿宋" w:eastAsia="仿宋" w:cs="仿宋"/>
          <w:highlight w:val="none"/>
          <w:lang w:val="en-US" w:eastAsia="zh-CN"/>
        </w:rPr>
      </w:pPr>
    </w:p>
    <w:p w14:paraId="215DEB69">
      <w:pPr>
        <w:bidi w:val="0"/>
        <w:rPr>
          <w:rFonts w:hint="eastAsia" w:ascii="仿宋" w:hAnsi="仿宋" w:eastAsia="仿宋" w:cs="仿宋"/>
          <w:highlight w:val="none"/>
          <w:lang w:val="en-US" w:eastAsia="zh-CN"/>
        </w:rPr>
      </w:pPr>
    </w:p>
    <w:p w14:paraId="11CB900B">
      <w:pPr>
        <w:bidi w:val="0"/>
        <w:rPr>
          <w:rFonts w:hint="eastAsia" w:ascii="仿宋" w:hAnsi="仿宋" w:eastAsia="仿宋" w:cs="仿宋"/>
          <w:highlight w:val="none"/>
          <w:lang w:val="en-US" w:eastAsia="zh-CN"/>
        </w:rPr>
      </w:pPr>
    </w:p>
    <w:p w14:paraId="1E164963">
      <w:pPr>
        <w:bidi w:val="0"/>
        <w:rPr>
          <w:rFonts w:hint="eastAsia" w:ascii="仿宋" w:hAnsi="仿宋" w:eastAsia="仿宋" w:cs="仿宋"/>
          <w:highlight w:val="none"/>
          <w:lang w:val="en-US" w:eastAsia="zh-CN"/>
        </w:rPr>
      </w:pPr>
    </w:p>
    <w:p w14:paraId="1B4D9A6E">
      <w:pPr>
        <w:bidi w:val="0"/>
        <w:rPr>
          <w:rFonts w:hint="eastAsia" w:ascii="仿宋" w:hAnsi="仿宋" w:eastAsia="仿宋" w:cs="仿宋"/>
          <w:highlight w:val="none"/>
          <w:lang w:val="en-US" w:eastAsia="zh-CN"/>
        </w:rPr>
      </w:pPr>
    </w:p>
    <w:p w14:paraId="1289B70F">
      <w:pPr>
        <w:bidi w:val="0"/>
        <w:rPr>
          <w:rFonts w:hint="eastAsia" w:ascii="仿宋" w:hAnsi="仿宋" w:eastAsia="仿宋" w:cs="仿宋"/>
          <w:highlight w:val="none"/>
          <w:lang w:val="en-US" w:eastAsia="zh-CN"/>
        </w:rPr>
      </w:pPr>
    </w:p>
    <w:p w14:paraId="37401B7E">
      <w:pPr>
        <w:bidi w:val="0"/>
        <w:rPr>
          <w:rFonts w:hint="eastAsia" w:ascii="仿宋" w:hAnsi="仿宋" w:eastAsia="仿宋" w:cs="仿宋"/>
          <w:highlight w:val="none"/>
          <w:lang w:val="en-US" w:eastAsia="zh-CN"/>
        </w:rPr>
      </w:pPr>
    </w:p>
    <w:p w14:paraId="40035637">
      <w:pPr>
        <w:bidi w:val="0"/>
        <w:rPr>
          <w:rFonts w:hint="eastAsia" w:ascii="仿宋" w:hAnsi="仿宋" w:eastAsia="仿宋" w:cs="仿宋"/>
          <w:highlight w:val="none"/>
          <w:lang w:val="en-US" w:eastAsia="zh-CN"/>
        </w:rPr>
      </w:pPr>
    </w:p>
    <w:p w14:paraId="755317C9">
      <w:pPr>
        <w:bidi w:val="0"/>
        <w:rPr>
          <w:rFonts w:hint="eastAsia" w:ascii="仿宋" w:hAnsi="仿宋" w:eastAsia="仿宋" w:cs="仿宋"/>
          <w:highlight w:val="none"/>
          <w:lang w:val="en-US" w:eastAsia="zh-CN"/>
        </w:rPr>
      </w:pPr>
    </w:p>
    <w:p w14:paraId="4CA45C8F">
      <w:pPr>
        <w:bidi w:val="0"/>
        <w:rPr>
          <w:rFonts w:hint="eastAsia" w:ascii="仿宋" w:hAnsi="仿宋" w:eastAsia="仿宋" w:cs="仿宋"/>
          <w:highlight w:val="none"/>
          <w:lang w:val="en-US" w:eastAsia="zh-CN"/>
        </w:rPr>
      </w:pPr>
    </w:p>
    <w:p w14:paraId="7A4F5E27">
      <w:pPr>
        <w:bidi w:val="0"/>
        <w:rPr>
          <w:rFonts w:hint="eastAsia" w:ascii="仿宋" w:hAnsi="仿宋" w:eastAsia="仿宋" w:cs="仿宋"/>
          <w:highlight w:val="none"/>
          <w:lang w:val="en-US" w:eastAsia="zh-CN"/>
        </w:rPr>
      </w:pPr>
    </w:p>
    <w:p w14:paraId="4C20F4EF">
      <w:pPr>
        <w:bidi w:val="0"/>
        <w:rPr>
          <w:rFonts w:hint="eastAsia" w:ascii="仿宋" w:hAnsi="仿宋" w:eastAsia="仿宋" w:cs="仿宋"/>
          <w:highlight w:val="none"/>
          <w:lang w:val="en-US" w:eastAsia="zh-CN"/>
        </w:rPr>
      </w:pPr>
    </w:p>
    <w:p w14:paraId="07EE0B85">
      <w:pPr>
        <w:bidi w:val="0"/>
        <w:rPr>
          <w:rFonts w:hint="eastAsia" w:ascii="仿宋" w:hAnsi="仿宋" w:eastAsia="仿宋" w:cs="仿宋"/>
          <w:highlight w:val="none"/>
          <w:lang w:val="en-US" w:eastAsia="zh-CN"/>
        </w:rPr>
      </w:pPr>
    </w:p>
    <w:p w14:paraId="7944A52C">
      <w:pPr>
        <w:bidi w:val="0"/>
        <w:rPr>
          <w:rFonts w:hint="eastAsia" w:ascii="仿宋" w:hAnsi="仿宋" w:eastAsia="仿宋" w:cs="仿宋"/>
          <w:highlight w:val="none"/>
          <w:lang w:val="en-US" w:eastAsia="zh-CN"/>
        </w:rPr>
      </w:pPr>
    </w:p>
    <w:p w14:paraId="456CF955">
      <w:pPr>
        <w:bidi w:val="0"/>
        <w:rPr>
          <w:rFonts w:hint="eastAsia" w:ascii="仿宋" w:hAnsi="仿宋" w:eastAsia="仿宋" w:cs="仿宋"/>
          <w:highlight w:val="none"/>
          <w:lang w:val="en-US" w:eastAsia="zh-CN"/>
        </w:rPr>
      </w:pPr>
    </w:p>
    <w:p w14:paraId="2A901043">
      <w:pPr>
        <w:bidi w:val="0"/>
        <w:rPr>
          <w:rFonts w:hint="eastAsia" w:ascii="仿宋" w:hAnsi="仿宋" w:eastAsia="仿宋" w:cs="仿宋"/>
          <w:highlight w:val="none"/>
          <w:lang w:val="en-US" w:eastAsia="zh-CN"/>
        </w:rPr>
      </w:pPr>
    </w:p>
    <w:p w14:paraId="4579A502">
      <w:pPr>
        <w:bidi w:val="0"/>
        <w:rPr>
          <w:rFonts w:hint="eastAsia" w:ascii="仿宋" w:hAnsi="仿宋" w:eastAsia="仿宋" w:cs="仿宋"/>
          <w:highlight w:val="none"/>
          <w:lang w:val="en-US" w:eastAsia="zh-CN"/>
        </w:rPr>
      </w:pPr>
    </w:p>
    <w:p w14:paraId="598F08C8">
      <w:pPr>
        <w:bidi w:val="0"/>
        <w:rPr>
          <w:rFonts w:hint="eastAsia" w:ascii="仿宋" w:hAnsi="仿宋" w:eastAsia="仿宋" w:cs="仿宋"/>
          <w:highlight w:val="none"/>
          <w:lang w:val="en-US" w:eastAsia="zh-CN"/>
        </w:rPr>
      </w:pPr>
    </w:p>
    <w:p w14:paraId="0A481804">
      <w:pPr>
        <w:bidi w:val="0"/>
        <w:rPr>
          <w:rFonts w:hint="eastAsia" w:ascii="仿宋" w:hAnsi="仿宋" w:eastAsia="仿宋" w:cs="仿宋"/>
          <w:highlight w:val="none"/>
          <w:lang w:val="en-US" w:eastAsia="zh-CN"/>
        </w:rPr>
      </w:pPr>
    </w:p>
    <w:p w14:paraId="1CB1DE1C">
      <w:pPr>
        <w:bidi w:val="0"/>
        <w:rPr>
          <w:rFonts w:hint="eastAsia" w:ascii="仿宋" w:hAnsi="仿宋" w:eastAsia="仿宋" w:cs="仿宋"/>
          <w:highlight w:val="none"/>
          <w:lang w:val="en-US" w:eastAsia="zh-CN"/>
        </w:rPr>
      </w:pPr>
    </w:p>
    <w:p w14:paraId="1F35F839">
      <w:pPr>
        <w:bidi w:val="0"/>
        <w:rPr>
          <w:rFonts w:hint="eastAsia" w:ascii="仿宋" w:hAnsi="仿宋" w:eastAsia="仿宋" w:cs="仿宋"/>
          <w:highlight w:val="none"/>
          <w:lang w:val="en-US" w:eastAsia="zh-CN"/>
        </w:rPr>
      </w:pPr>
    </w:p>
    <w:p w14:paraId="00069095">
      <w:pPr>
        <w:bidi w:val="0"/>
        <w:rPr>
          <w:rFonts w:hint="eastAsia" w:ascii="仿宋" w:hAnsi="仿宋" w:eastAsia="仿宋" w:cs="仿宋"/>
          <w:highlight w:val="none"/>
          <w:lang w:val="en-US" w:eastAsia="zh-CN"/>
        </w:rPr>
      </w:pPr>
    </w:p>
    <w:p w14:paraId="2A3E865D">
      <w:pPr>
        <w:bidi w:val="0"/>
        <w:rPr>
          <w:rFonts w:hint="eastAsia" w:ascii="仿宋" w:hAnsi="仿宋" w:eastAsia="仿宋" w:cs="仿宋"/>
          <w:highlight w:val="none"/>
          <w:lang w:val="en-US" w:eastAsia="zh-CN"/>
        </w:rPr>
      </w:pPr>
    </w:p>
    <w:p w14:paraId="453A5829">
      <w:pPr>
        <w:bidi w:val="0"/>
        <w:ind w:firstLine="263" w:firstLineChars="0"/>
        <w:jc w:val="left"/>
        <w:rPr>
          <w:rFonts w:hint="eastAsia" w:ascii="仿宋" w:hAnsi="仿宋" w:eastAsia="仿宋" w:cs="仿宋"/>
          <w:highlight w:val="none"/>
          <w:lang w:val="en-US" w:eastAsia="zh-CN"/>
        </w:rPr>
      </w:pPr>
    </w:p>
    <w:p w14:paraId="4B71236A">
      <w:pPr>
        <w:pStyle w:val="3"/>
        <w:rPr>
          <w:rFonts w:hint="eastAsia" w:ascii="仿宋" w:hAnsi="仿宋" w:eastAsia="仿宋" w:cs="仿宋"/>
          <w:highlight w:val="none"/>
          <w:lang w:val="en-US" w:eastAsia="zh-CN"/>
        </w:rPr>
      </w:pPr>
      <w:bookmarkStart w:id="253" w:name="_Toc21473"/>
      <w:bookmarkStart w:id="254" w:name="_Toc855"/>
      <w:r>
        <w:rPr>
          <w:rFonts w:hint="eastAsia" w:ascii="仿宋" w:hAnsi="仿宋" w:eastAsia="仿宋" w:cs="仿宋"/>
          <w:highlight w:val="none"/>
          <w:lang w:val="en-US" w:eastAsia="zh-CN"/>
        </w:rPr>
        <w:t>附件13：</w:t>
      </w:r>
      <w:r>
        <w:rPr>
          <w:rFonts w:hint="eastAsia" w:ascii="仿宋" w:hAnsi="仿宋" w:eastAsia="仿宋" w:cs="仿宋"/>
          <w:highlight w:val="none"/>
        </w:rPr>
        <w:t>投标人基本情况表</w:t>
      </w:r>
      <w:bookmarkEnd w:id="253"/>
      <w:bookmarkEnd w:id="254"/>
    </w:p>
    <w:tbl>
      <w:tblPr>
        <w:tblStyle w:val="19"/>
        <w:tblW w:w="93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19"/>
        <w:gridCol w:w="950"/>
        <w:gridCol w:w="1550"/>
        <w:gridCol w:w="538"/>
        <w:gridCol w:w="212"/>
        <w:gridCol w:w="517"/>
        <w:gridCol w:w="500"/>
        <w:gridCol w:w="817"/>
        <w:gridCol w:w="750"/>
        <w:gridCol w:w="2104"/>
      </w:tblGrid>
      <w:tr w14:paraId="3708E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935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4ACA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投标人名称</w:t>
            </w:r>
          </w:p>
        </w:tc>
      </w:tr>
      <w:tr w14:paraId="225C6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886B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注册地址</w:t>
            </w:r>
          </w:p>
        </w:tc>
        <w:tc>
          <w:tcPr>
            <w:tcW w:w="30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2D945">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c>
          <w:tcPr>
            <w:tcW w:w="12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6D6C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邮政编码</w:t>
            </w:r>
          </w:p>
        </w:tc>
        <w:tc>
          <w:tcPr>
            <w:tcW w:w="36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48FA3">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r>
      <w:tr w14:paraId="52328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4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1F7C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联系方式</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74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联系人</w:t>
            </w: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DF692">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c>
          <w:tcPr>
            <w:tcW w:w="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E1E6A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电话</w:t>
            </w: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2F137">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r>
      <w:tr w14:paraId="601A7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F4AB8">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07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网址</w:t>
            </w:r>
          </w:p>
        </w:tc>
        <w:tc>
          <w:tcPr>
            <w:tcW w:w="6988"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DD678">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r>
      <w:tr w14:paraId="68920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F818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法定代表人</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A3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姓名</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ABBE">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A1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职称</w:t>
            </w:r>
          </w:p>
        </w:tc>
        <w:tc>
          <w:tcPr>
            <w:tcW w:w="18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BA956">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4B9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电话</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22FB">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r>
      <w:tr w14:paraId="3E8FB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5692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成立时间</w:t>
            </w:r>
          </w:p>
        </w:tc>
        <w:tc>
          <w:tcPr>
            <w:tcW w:w="30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3872">
            <w:pPr>
              <w:keepNext w:val="0"/>
              <w:keepLines w:val="0"/>
              <w:suppressLineNumbers w:val="0"/>
              <w:spacing w:before="0" w:beforeAutospacing="0" w:after="0" w:afterAutospacing="0"/>
              <w:ind w:left="0" w:right="0"/>
              <w:jc w:val="left"/>
              <w:rPr>
                <w:rFonts w:hint="default" w:ascii="仿宋" w:hAnsi="仿宋" w:eastAsia="仿宋" w:cs="仿宋"/>
                <w:i w:val="0"/>
                <w:iCs w:val="0"/>
                <w:color w:val="000000"/>
                <w:sz w:val="24"/>
                <w:szCs w:val="24"/>
                <w:highlight w:val="none"/>
                <w:u w:val="none"/>
                <w:lang w:val="en-US" w:eastAsia="zh-CN"/>
              </w:rPr>
            </w:pPr>
          </w:p>
        </w:tc>
        <w:tc>
          <w:tcPr>
            <w:tcW w:w="279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BFC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员工总人数</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822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highlight w:val="none"/>
                <w:u w:val="none"/>
              </w:rPr>
            </w:pPr>
          </w:p>
        </w:tc>
      </w:tr>
      <w:tr w14:paraId="3C595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1419" w:type="dxa"/>
            <w:vMerge w:val="restart"/>
            <w:tcBorders>
              <w:top w:val="single" w:color="000000" w:sz="4" w:space="0"/>
              <w:left w:val="single" w:color="000000" w:sz="4" w:space="0"/>
              <w:right w:val="single" w:color="000000" w:sz="4" w:space="0"/>
            </w:tcBorders>
            <w:shd w:val="clear" w:color="auto" w:fill="auto"/>
            <w:noWrap/>
            <w:vAlign w:val="center"/>
          </w:tcPr>
          <w:p w14:paraId="2F2B6DC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单位性质</w:t>
            </w:r>
          </w:p>
        </w:tc>
        <w:tc>
          <w:tcPr>
            <w:tcW w:w="3038" w:type="dxa"/>
            <w:gridSpan w:val="3"/>
            <w:vMerge w:val="restart"/>
            <w:tcBorders>
              <w:top w:val="single" w:color="000000" w:sz="4" w:space="0"/>
              <w:left w:val="single" w:color="000000" w:sz="4" w:space="0"/>
              <w:right w:val="single" w:color="000000" w:sz="4" w:space="0"/>
            </w:tcBorders>
            <w:shd w:val="clear" w:color="auto" w:fill="auto"/>
            <w:noWrap/>
            <w:vAlign w:val="center"/>
          </w:tcPr>
          <w:p w14:paraId="5CF8081B">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c>
          <w:tcPr>
            <w:tcW w:w="729" w:type="dxa"/>
            <w:gridSpan w:val="2"/>
            <w:vMerge w:val="restart"/>
            <w:tcBorders>
              <w:top w:val="single" w:color="000000" w:sz="4" w:space="0"/>
              <w:left w:val="single" w:color="000000" w:sz="4" w:space="0"/>
              <w:right w:val="single" w:color="000000" w:sz="4" w:space="0"/>
            </w:tcBorders>
            <w:shd w:val="clear" w:color="auto" w:fill="auto"/>
            <w:noWrap/>
            <w:vAlign w:val="center"/>
          </w:tcPr>
          <w:p w14:paraId="5F8303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其中</w:t>
            </w:r>
          </w:p>
        </w:tc>
        <w:tc>
          <w:tcPr>
            <w:tcW w:w="2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4EB2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参保人数</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AD569">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r>
      <w:tr w14:paraId="37BC7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1419" w:type="dxa"/>
            <w:vMerge w:val="continue"/>
            <w:tcBorders>
              <w:left w:val="single" w:color="000000" w:sz="4" w:space="0"/>
              <w:right w:val="single" w:color="000000" w:sz="4" w:space="0"/>
            </w:tcBorders>
            <w:shd w:val="clear" w:color="auto" w:fill="auto"/>
            <w:noWrap/>
            <w:vAlign w:val="center"/>
          </w:tcPr>
          <w:p w14:paraId="22D543F4">
            <w:pPr>
              <w:keepNext w:val="0"/>
              <w:keepLines w:val="0"/>
              <w:suppressLineNumbers w:val="0"/>
              <w:spacing w:before="0" w:beforeAutospacing="0" w:after="0" w:afterAutospacing="0"/>
              <w:ind w:left="0" w:right="0"/>
              <w:jc w:val="left"/>
              <w:rPr>
                <w:rFonts w:hint="eastAsia" w:ascii="仿宋" w:hAnsi="仿宋" w:eastAsia="仿宋" w:cs="仿宋"/>
                <w:highlight w:val="none"/>
              </w:rPr>
            </w:pPr>
          </w:p>
        </w:tc>
        <w:tc>
          <w:tcPr>
            <w:tcW w:w="3038" w:type="dxa"/>
            <w:gridSpan w:val="3"/>
            <w:vMerge w:val="continue"/>
            <w:tcBorders>
              <w:left w:val="single" w:color="000000" w:sz="4" w:space="0"/>
              <w:bottom w:val="single" w:color="000000" w:sz="4" w:space="0"/>
              <w:right w:val="single" w:color="000000" w:sz="4" w:space="0"/>
            </w:tcBorders>
            <w:shd w:val="clear" w:color="auto" w:fill="auto"/>
            <w:noWrap/>
            <w:vAlign w:val="center"/>
          </w:tcPr>
          <w:p w14:paraId="0FAEE45A">
            <w:pPr>
              <w:keepNext w:val="0"/>
              <w:keepLines w:val="0"/>
              <w:suppressLineNumbers w:val="0"/>
              <w:spacing w:before="0" w:beforeAutospacing="0" w:after="0" w:afterAutospacing="0"/>
              <w:ind w:left="0" w:right="0"/>
              <w:jc w:val="left"/>
              <w:rPr>
                <w:rFonts w:hint="eastAsia" w:ascii="仿宋" w:hAnsi="仿宋" w:eastAsia="仿宋" w:cs="仿宋"/>
                <w:highlight w:val="none"/>
              </w:rPr>
            </w:pPr>
          </w:p>
        </w:tc>
        <w:tc>
          <w:tcPr>
            <w:tcW w:w="729" w:type="dxa"/>
            <w:gridSpan w:val="2"/>
            <w:vMerge w:val="continue"/>
            <w:tcBorders>
              <w:left w:val="single" w:color="000000" w:sz="4" w:space="0"/>
              <w:bottom w:val="single" w:color="000000" w:sz="4" w:space="0"/>
              <w:right w:val="single" w:color="000000" w:sz="4" w:space="0"/>
            </w:tcBorders>
            <w:shd w:val="clear" w:color="auto" w:fill="auto"/>
            <w:noWrap/>
            <w:vAlign w:val="center"/>
          </w:tcPr>
          <w:p w14:paraId="2EB8E6A8">
            <w:pPr>
              <w:keepNext w:val="0"/>
              <w:keepLines w:val="0"/>
              <w:suppressLineNumbers w:val="0"/>
              <w:spacing w:before="0" w:beforeAutospacing="0" w:after="0" w:afterAutospacing="0"/>
              <w:ind w:left="0" w:right="0"/>
              <w:jc w:val="left"/>
              <w:rPr>
                <w:rFonts w:hint="eastAsia" w:ascii="仿宋" w:hAnsi="仿宋" w:eastAsia="仿宋" w:cs="仿宋"/>
                <w:highlight w:val="none"/>
              </w:rPr>
            </w:pPr>
          </w:p>
        </w:tc>
        <w:tc>
          <w:tcPr>
            <w:tcW w:w="2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463A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高级职称人员</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2E0F">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kern w:val="2"/>
                <w:sz w:val="24"/>
                <w:szCs w:val="24"/>
                <w:highlight w:val="none"/>
                <w:u w:val="none"/>
                <w:lang w:val="en-US" w:eastAsia="zh-CN" w:bidi="ar-SA"/>
              </w:rPr>
            </w:pPr>
          </w:p>
        </w:tc>
      </w:tr>
      <w:tr w14:paraId="2D3EE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5D0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注册资金</w:t>
            </w:r>
          </w:p>
        </w:tc>
        <w:tc>
          <w:tcPr>
            <w:tcW w:w="30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90CD1">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c>
          <w:tcPr>
            <w:tcW w:w="7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2CB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highlight w:val="none"/>
                <w:u w:val="none"/>
              </w:rPr>
            </w:pPr>
          </w:p>
        </w:tc>
        <w:tc>
          <w:tcPr>
            <w:tcW w:w="2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A7E0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中级职称人员</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2284">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r>
      <w:tr w14:paraId="436B7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9471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开户银行</w:t>
            </w:r>
          </w:p>
        </w:tc>
        <w:tc>
          <w:tcPr>
            <w:tcW w:w="30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E9C3">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c>
          <w:tcPr>
            <w:tcW w:w="7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735C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highlight w:val="none"/>
                <w:u w:val="none"/>
              </w:rPr>
            </w:pPr>
          </w:p>
        </w:tc>
        <w:tc>
          <w:tcPr>
            <w:tcW w:w="2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90E6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初级职称人员</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B48F4">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r>
      <w:tr w14:paraId="50588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3D8E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账 号</w:t>
            </w:r>
          </w:p>
        </w:tc>
        <w:tc>
          <w:tcPr>
            <w:tcW w:w="30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EEC8F">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c>
          <w:tcPr>
            <w:tcW w:w="7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F9E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highlight w:val="none"/>
                <w:u w:val="none"/>
              </w:rPr>
            </w:pPr>
          </w:p>
        </w:tc>
        <w:tc>
          <w:tcPr>
            <w:tcW w:w="2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760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普通员工</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02AC0">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r>
      <w:tr w14:paraId="4E7E3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3" w:hRule="atLeast"/>
          <w:jc w:val="center"/>
        </w:trPr>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000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经营范围</w:t>
            </w:r>
          </w:p>
        </w:tc>
        <w:tc>
          <w:tcPr>
            <w:tcW w:w="793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EB585">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r>
      <w:tr w14:paraId="65E16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7FC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备注</w:t>
            </w:r>
          </w:p>
        </w:tc>
        <w:tc>
          <w:tcPr>
            <w:tcW w:w="793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284D">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sz w:val="24"/>
                <w:szCs w:val="24"/>
                <w:highlight w:val="none"/>
                <w:u w:val="none"/>
              </w:rPr>
            </w:pPr>
          </w:p>
        </w:tc>
      </w:tr>
      <w:tr w14:paraId="58394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7" w:hRule="atLeast"/>
          <w:jc w:val="center"/>
        </w:trPr>
        <w:tc>
          <w:tcPr>
            <w:tcW w:w="9357" w:type="dxa"/>
            <w:gridSpan w:val="10"/>
            <w:tcBorders>
              <w:top w:val="nil"/>
              <w:left w:val="nil"/>
              <w:bottom w:val="nil"/>
              <w:right w:val="nil"/>
            </w:tcBorders>
            <w:shd w:val="clear" w:color="auto" w:fill="auto"/>
            <w:noWrap/>
            <w:vAlign w:val="center"/>
          </w:tcPr>
          <w:p w14:paraId="5FD3996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投标人：（盖单位章）</w:t>
            </w:r>
          </w:p>
        </w:tc>
      </w:tr>
      <w:tr w14:paraId="5DD88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jc w:val="center"/>
        </w:trPr>
        <w:tc>
          <w:tcPr>
            <w:tcW w:w="9357" w:type="dxa"/>
            <w:gridSpan w:val="10"/>
            <w:tcBorders>
              <w:top w:val="nil"/>
              <w:left w:val="nil"/>
              <w:bottom w:val="nil"/>
              <w:right w:val="nil"/>
            </w:tcBorders>
            <w:shd w:val="clear" w:color="auto" w:fill="auto"/>
            <w:noWrap/>
            <w:vAlign w:val="center"/>
          </w:tcPr>
          <w:p w14:paraId="7B72A0A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法定代表人或其授权代理人：（签字）</w:t>
            </w:r>
          </w:p>
        </w:tc>
      </w:tr>
      <w:tr w14:paraId="13104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8" w:hRule="atLeast"/>
          <w:jc w:val="center"/>
        </w:trPr>
        <w:tc>
          <w:tcPr>
            <w:tcW w:w="9357" w:type="dxa"/>
            <w:gridSpan w:val="10"/>
            <w:tcBorders>
              <w:top w:val="nil"/>
              <w:left w:val="nil"/>
              <w:bottom w:val="nil"/>
              <w:right w:val="nil"/>
            </w:tcBorders>
            <w:shd w:val="clear" w:color="auto" w:fill="auto"/>
            <w:noWrap/>
            <w:vAlign w:val="center"/>
          </w:tcPr>
          <w:p w14:paraId="59F6D70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日期：    年   月   日</w:t>
            </w:r>
          </w:p>
        </w:tc>
      </w:tr>
    </w:tbl>
    <w:p w14:paraId="53516957">
      <w:pPr>
        <w:bidi w:val="0"/>
        <w:ind w:firstLine="263" w:firstLineChars="0"/>
        <w:jc w:val="left"/>
        <w:rPr>
          <w:rFonts w:hint="eastAsia" w:ascii="仿宋" w:hAnsi="仿宋" w:eastAsia="仿宋" w:cs="仿宋"/>
          <w:highlight w:val="none"/>
          <w:lang w:val="en-US" w:eastAsia="zh-CN"/>
        </w:rPr>
      </w:pPr>
    </w:p>
    <w:sectPr>
      <w:headerReference r:id="rId6" w:type="default"/>
      <w:footerReference r:id="rId7" w:type="default"/>
      <w:pgSz w:w="11906" w:h="16838"/>
      <w:pgMar w:top="1440" w:right="1800" w:bottom="1440" w:left="1800" w:header="851" w:footer="992" w:gutter="0"/>
      <w:pgNumType w:fmt="upperRoman"/>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Arial Black">
    <w:panose1 w:val="020B0A04020102020204"/>
    <w:charset w:val="00"/>
    <w:family w:val="swiss"/>
    <w:pitch w:val="default"/>
    <w:sig w:usb0="A00002AF" w:usb1="400078FB" w:usb2="00000000" w:usb3="00000000" w:csb0="6000009F" w:csb1="DFD70000"/>
  </w:font>
  <w:font w:name="仿宋">
    <w:panose1 w:val="02010609060101010101"/>
    <w:charset w:val="86"/>
    <w:family w:val="modern"/>
    <w:pitch w:val="default"/>
    <w:sig w:usb0="800002BF" w:usb1="38CF7CFA" w:usb2="00000016" w:usb3="00000000" w:csb0="00040001" w:csb1="00000000"/>
  </w:font>
  <w:font w:name="微软雅黑 Light">
    <w:panose1 w:val="020B0502040204020203"/>
    <w:charset w:val="86"/>
    <w:family w:val="swiss"/>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w:panose1 w:val="020F0502020204030204"/>
    <w:charset w:val="86"/>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67950">
    <w:pPr>
      <w:pStyle w:val="12"/>
    </w:pPr>
    <w:r>
      <w:rPr>
        <w:sz w:val="18"/>
      </w:rPr>
      <w:pict>
        <v:shape id="文本框 3" o:spid="_x0000_s102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v:imagedata o:title=""/>
          <o:lock v:ext="edit" aspectratio="f"/>
          <v:textbox inset="0mm,0mm,0mm,0mm" style="mso-fit-shape-to-text:t;">
            <w:txbxContent>
              <w:p w14:paraId="76B3EBB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18</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9A6F4">
    <w:pPr>
      <w:pStyle w:val="12"/>
    </w:pPr>
    <w:r>
      <w:rPr>
        <w:sz w:val="18"/>
      </w:rPr>
      <w:pict>
        <v:shape id="_x0000_s1032" o:spid="_x0000_s103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7296A7E">
                <w:pPr>
                  <w:pStyle w:val="12"/>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28F40">
    <w:pPr>
      <w:pStyle w:val="12"/>
      <w:tabs>
        <w:tab w:val="center" w:pos="4479"/>
        <w:tab w:val="clear" w:pos="4153"/>
        <w:tab w:val="clear" w:pos="8306"/>
      </w:tabs>
      <w:jc w:val="right"/>
    </w:pPr>
    <w:r>
      <w:rPr>
        <w:sz w:val="18"/>
      </w:rPr>
      <w:pict>
        <v:shape id="_x0000_s1033" o:spid="_x0000_s1033"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28FD6968">
                <w:pPr>
                  <w:pStyle w:val="12"/>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BE3E4">
    <w:pPr>
      <w:pStyle w:val="13"/>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99806">
    <w:pPr>
      <w:pStyle w:val="13"/>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89379B"/>
    <w:multiLevelType w:val="singleLevel"/>
    <w:tmpl w:val="9089379B"/>
    <w:lvl w:ilvl="0" w:tentative="0">
      <w:start w:val="1"/>
      <w:numFmt w:val="decimal"/>
      <w:lvlText w:val="%1)"/>
      <w:lvlJc w:val="left"/>
      <w:pPr>
        <w:ind w:left="425" w:hanging="425"/>
      </w:pPr>
      <w:rPr>
        <w:rFonts w:hint="default"/>
      </w:rPr>
    </w:lvl>
  </w:abstractNum>
  <w:abstractNum w:abstractNumId="1">
    <w:nsid w:val="A4FB001F"/>
    <w:multiLevelType w:val="multilevel"/>
    <w:tmpl w:val="A4FB001F"/>
    <w:lvl w:ilvl="0" w:tentative="0">
      <w:start w:val="2"/>
      <w:numFmt w:val="decimal"/>
      <w:lvlText w:val="%1."/>
      <w:lvlJc w:val="left"/>
      <w:pPr>
        <w:ind w:left="425" w:hanging="425"/>
      </w:pPr>
      <w:rPr>
        <w:rFonts w:hint="default"/>
      </w:rPr>
    </w:lvl>
    <w:lvl w:ilvl="1" w:tentative="0">
      <w:start w:val="1"/>
      <w:numFmt w:val="decimal"/>
      <w:lvlText w:val="3.%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A7E980F9"/>
    <w:multiLevelType w:val="singleLevel"/>
    <w:tmpl w:val="A7E980F9"/>
    <w:lvl w:ilvl="0" w:tentative="0">
      <w:start w:val="1"/>
      <w:numFmt w:val="decimal"/>
      <w:suff w:val="nothing"/>
      <w:lvlText w:val="%1、"/>
      <w:lvlJc w:val="left"/>
    </w:lvl>
  </w:abstractNum>
  <w:abstractNum w:abstractNumId="3">
    <w:nsid w:val="A9174B60"/>
    <w:multiLevelType w:val="singleLevel"/>
    <w:tmpl w:val="A9174B60"/>
    <w:lvl w:ilvl="0" w:tentative="0">
      <w:start w:val="1"/>
      <w:numFmt w:val="decimal"/>
      <w:lvlText w:val="%1)"/>
      <w:lvlJc w:val="left"/>
      <w:pPr>
        <w:ind w:left="425" w:hanging="425"/>
      </w:pPr>
      <w:rPr>
        <w:rFonts w:hint="default"/>
      </w:rPr>
    </w:lvl>
  </w:abstractNum>
  <w:abstractNum w:abstractNumId="4">
    <w:nsid w:val="AE0D4783"/>
    <w:multiLevelType w:val="multilevel"/>
    <w:tmpl w:val="AE0D4783"/>
    <w:lvl w:ilvl="0" w:tentative="0">
      <w:start w:val="5"/>
      <w:numFmt w:val="decimal"/>
      <w:lvlText w:val="%1."/>
      <w:lvlJc w:val="left"/>
      <w:pPr>
        <w:ind w:left="425" w:hanging="425"/>
      </w:pPr>
      <w:rPr>
        <w:rFonts w:hint="default"/>
      </w:rPr>
    </w:lvl>
    <w:lvl w:ilvl="1" w:tentative="0">
      <w:start w:val="1"/>
      <w:numFmt w:val="decimal"/>
      <w:suff w:val="space"/>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5">
    <w:nsid w:val="B11BB866"/>
    <w:multiLevelType w:val="singleLevel"/>
    <w:tmpl w:val="B11BB866"/>
    <w:lvl w:ilvl="0" w:tentative="0">
      <w:start w:val="1"/>
      <w:numFmt w:val="bullet"/>
      <w:lvlText w:val=""/>
      <w:lvlJc w:val="left"/>
      <w:pPr>
        <w:ind w:left="420" w:hanging="420"/>
      </w:pPr>
      <w:rPr>
        <w:rFonts w:hint="default" w:ascii="Wingdings" w:hAnsi="Wingdings"/>
      </w:rPr>
    </w:lvl>
  </w:abstractNum>
  <w:abstractNum w:abstractNumId="6">
    <w:nsid w:val="B5485B97"/>
    <w:multiLevelType w:val="singleLevel"/>
    <w:tmpl w:val="B5485B97"/>
    <w:lvl w:ilvl="0" w:tentative="0">
      <w:start w:val="1"/>
      <w:numFmt w:val="bullet"/>
      <w:lvlText w:val=""/>
      <w:lvlJc w:val="left"/>
      <w:pPr>
        <w:ind w:left="420" w:hanging="420"/>
      </w:pPr>
      <w:rPr>
        <w:rFonts w:hint="default" w:ascii="Wingdings" w:hAnsi="Wingdings"/>
      </w:rPr>
    </w:lvl>
  </w:abstractNum>
  <w:abstractNum w:abstractNumId="7">
    <w:nsid w:val="B6BCC34D"/>
    <w:multiLevelType w:val="singleLevel"/>
    <w:tmpl w:val="B6BCC34D"/>
    <w:lvl w:ilvl="0" w:tentative="0">
      <w:start w:val="1"/>
      <w:numFmt w:val="bullet"/>
      <w:lvlText w:val=""/>
      <w:lvlJc w:val="left"/>
      <w:pPr>
        <w:ind w:left="420" w:hanging="420"/>
      </w:pPr>
      <w:rPr>
        <w:rFonts w:hint="default" w:ascii="Wingdings" w:hAnsi="Wingdings"/>
      </w:rPr>
    </w:lvl>
  </w:abstractNum>
  <w:abstractNum w:abstractNumId="8">
    <w:nsid w:val="B965D9E0"/>
    <w:multiLevelType w:val="singleLevel"/>
    <w:tmpl w:val="B965D9E0"/>
    <w:lvl w:ilvl="0" w:tentative="0">
      <w:start w:val="1"/>
      <w:numFmt w:val="bullet"/>
      <w:lvlText w:val=""/>
      <w:lvlJc w:val="left"/>
      <w:pPr>
        <w:ind w:left="420" w:hanging="420"/>
      </w:pPr>
      <w:rPr>
        <w:rFonts w:hint="default" w:ascii="Wingdings" w:hAnsi="Wingdings"/>
      </w:rPr>
    </w:lvl>
  </w:abstractNum>
  <w:abstractNum w:abstractNumId="9">
    <w:nsid w:val="C62E03C2"/>
    <w:multiLevelType w:val="singleLevel"/>
    <w:tmpl w:val="C62E03C2"/>
    <w:lvl w:ilvl="0" w:tentative="0">
      <w:start w:val="1"/>
      <w:numFmt w:val="decimal"/>
      <w:lvlText w:val="%1."/>
      <w:lvlJc w:val="left"/>
      <w:pPr>
        <w:ind w:left="425" w:hanging="425"/>
      </w:pPr>
      <w:rPr>
        <w:rFonts w:hint="default"/>
      </w:rPr>
    </w:lvl>
  </w:abstractNum>
  <w:abstractNum w:abstractNumId="10">
    <w:nsid w:val="C6C96B87"/>
    <w:multiLevelType w:val="multilevel"/>
    <w:tmpl w:val="C6C96B87"/>
    <w:lvl w:ilvl="0" w:tentative="0">
      <w:start w:val="8"/>
      <w:numFmt w:val="decimal"/>
      <w:lvlText w:val="%1."/>
      <w:lvlJc w:val="left"/>
      <w:pPr>
        <w:ind w:left="425" w:hanging="425"/>
      </w:pPr>
      <w:rPr>
        <w:rFonts w:hint="default"/>
      </w:rPr>
    </w:lvl>
    <w:lvl w:ilvl="1" w:tentative="0">
      <w:start w:val="1"/>
      <w:numFmt w:val="decimal"/>
      <w:suff w:val="space"/>
      <w:lvlText w:val="7.%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1">
    <w:nsid w:val="D2ECF9D6"/>
    <w:multiLevelType w:val="singleLevel"/>
    <w:tmpl w:val="D2ECF9D6"/>
    <w:lvl w:ilvl="0" w:tentative="0">
      <w:start w:val="1"/>
      <w:numFmt w:val="bullet"/>
      <w:lvlText w:val=""/>
      <w:lvlJc w:val="left"/>
      <w:pPr>
        <w:ind w:left="420" w:hanging="420"/>
      </w:pPr>
      <w:rPr>
        <w:rFonts w:hint="default" w:ascii="Wingdings" w:hAnsi="Wingdings"/>
      </w:rPr>
    </w:lvl>
  </w:abstractNum>
  <w:abstractNum w:abstractNumId="12">
    <w:nsid w:val="D490CE9E"/>
    <w:multiLevelType w:val="singleLevel"/>
    <w:tmpl w:val="D490CE9E"/>
    <w:lvl w:ilvl="0" w:tentative="0">
      <w:start w:val="1"/>
      <w:numFmt w:val="decimal"/>
      <w:lvlText w:val="%1)"/>
      <w:lvlJc w:val="left"/>
      <w:pPr>
        <w:ind w:left="425" w:hanging="425"/>
      </w:pPr>
      <w:rPr>
        <w:rFonts w:hint="default"/>
      </w:rPr>
    </w:lvl>
  </w:abstractNum>
  <w:abstractNum w:abstractNumId="13">
    <w:nsid w:val="EA7BA28B"/>
    <w:multiLevelType w:val="singleLevel"/>
    <w:tmpl w:val="EA7BA28B"/>
    <w:lvl w:ilvl="0" w:tentative="0">
      <w:start w:val="1"/>
      <w:numFmt w:val="decimal"/>
      <w:lvlText w:val="%1)"/>
      <w:lvlJc w:val="left"/>
      <w:pPr>
        <w:ind w:left="425" w:hanging="425"/>
      </w:pPr>
      <w:rPr>
        <w:rFonts w:hint="default"/>
      </w:rPr>
    </w:lvl>
  </w:abstractNum>
  <w:abstractNum w:abstractNumId="14">
    <w:nsid w:val="EB79B736"/>
    <w:multiLevelType w:val="singleLevel"/>
    <w:tmpl w:val="EB79B736"/>
    <w:lvl w:ilvl="0" w:tentative="0">
      <w:start w:val="3"/>
      <w:numFmt w:val="chineseCounting"/>
      <w:suff w:val="space"/>
      <w:lvlText w:val="第%1章"/>
      <w:lvlJc w:val="left"/>
      <w:pPr>
        <w:ind w:left="3360"/>
      </w:pPr>
      <w:rPr>
        <w:rFonts w:hint="eastAsia"/>
      </w:rPr>
    </w:lvl>
  </w:abstractNum>
  <w:abstractNum w:abstractNumId="15">
    <w:nsid w:val="FD937602"/>
    <w:multiLevelType w:val="multilevel"/>
    <w:tmpl w:val="FD937602"/>
    <w:lvl w:ilvl="0" w:tentative="0">
      <w:start w:val="3"/>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6">
    <w:nsid w:val="FFCB2576"/>
    <w:multiLevelType w:val="multilevel"/>
    <w:tmpl w:val="FFCB2576"/>
    <w:lvl w:ilvl="0" w:tentative="0">
      <w:start w:val="1"/>
      <w:numFmt w:val="decimal"/>
      <w:suff w:val="space"/>
      <w:lvlText w:val="2.%1."/>
      <w:lvlJc w:val="left"/>
      <w:pPr>
        <w:tabs>
          <w:tab w:val="left" w:pos="0"/>
        </w:tabs>
        <w:ind w:left="720" w:hanging="360"/>
      </w:pPr>
      <w:rPr>
        <w:rFonts w:hint="default"/>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00000021"/>
    <w:multiLevelType w:val="multilevel"/>
    <w:tmpl w:val="00000021"/>
    <w:lvl w:ilvl="0" w:tentative="0">
      <w:start w:val="1"/>
      <w:numFmt w:val="decimal"/>
      <w:lvlText w:val="%1"/>
      <w:lvlJc w:val="left"/>
      <w:pPr>
        <w:tabs>
          <w:tab w:val="left" w:pos="425"/>
        </w:tabs>
        <w:ind w:left="425" w:hanging="425"/>
      </w:pPr>
      <w:rPr>
        <w:rFonts w:hint="eastAsia"/>
      </w:rPr>
    </w:lvl>
    <w:lvl w:ilvl="1" w:tentative="0">
      <w:start w:val="1"/>
      <w:numFmt w:val="none"/>
      <w:lvlText w:val="1"/>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18">
    <w:nsid w:val="00A7BF37"/>
    <w:multiLevelType w:val="multilevel"/>
    <w:tmpl w:val="00A7BF37"/>
    <w:lvl w:ilvl="0" w:tentative="0">
      <w:start w:val="2"/>
      <w:numFmt w:val="decimal"/>
      <w:lvlText w:val="%1."/>
      <w:lvlJc w:val="left"/>
      <w:pPr>
        <w:ind w:left="425" w:hanging="425"/>
      </w:pPr>
      <w:rPr>
        <w:rFonts w:hint="default"/>
      </w:rPr>
    </w:lvl>
    <w:lvl w:ilvl="1" w:tentative="0">
      <w:start w:val="1"/>
      <w:numFmt w:val="decimal"/>
      <w:lvlText w:val="6.%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9">
    <w:nsid w:val="0679D550"/>
    <w:multiLevelType w:val="singleLevel"/>
    <w:tmpl w:val="0679D550"/>
    <w:lvl w:ilvl="0" w:tentative="0">
      <w:start w:val="1"/>
      <w:numFmt w:val="decimal"/>
      <w:lvlText w:val="%1)"/>
      <w:lvlJc w:val="left"/>
      <w:pPr>
        <w:ind w:left="425" w:hanging="425"/>
      </w:pPr>
      <w:rPr>
        <w:rFonts w:hint="default"/>
      </w:rPr>
    </w:lvl>
  </w:abstractNum>
  <w:abstractNum w:abstractNumId="20">
    <w:nsid w:val="0AB8B442"/>
    <w:multiLevelType w:val="multilevel"/>
    <w:tmpl w:val="0AB8B442"/>
    <w:lvl w:ilvl="0" w:tentative="0">
      <w:start w:val="1"/>
      <w:numFmt w:val="decimal"/>
      <w:suff w:val="space"/>
      <w:lvlText w:val="4.%1."/>
      <w:lvlJc w:val="left"/>
      <w:pPr>
        <w:ind w:left="720" w:hanging="360"/>
      </w:pPr>
      <w:rPr>
        <w:rFonts w:hint="default"/>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24869996"/>
    <w:multiLevelType w:val="singleLevel"/>
    <w:tmpl w:val="24869996"/>
    <w:lvl w:ilvl="0" w:tentative="0">
      <w:start w:val="1"/>
      <w:numFmt w:val="decimal"/>
      <w:lvlText w:val="%1)"/>
      <w:lvlJc w:val="left"/>
      <w:pPr>
        <w:ind w:left="425" w:hanging="425"/>
      </w:pPr>
      <w:rPr>
        <w:rFonts w:hint="default"/>
      </w:rPr>
    </w:lvl>
  </w:abstractNum>
  <w:abstractNum w:abstractNumId="22">
    <w:nsid w:val="2797CFA5"/>
    <w:multiLevelType w:val="singleLevel"/>
    <w:tmpl w:val="2797CFA5"/>
    <w:lvl w:ilvl="0" w:tentative="0">
      <w:start w:val="1"/>
      <w:numFmt w:val="decimal"/>
      <w:lvlText w:val="%1."/>
      <w:lvlJc w:val="left"/>
      <w:pPr>
        <w:ind w:left="425" w:hanging="425"/>
      </w:pPr>
      <w:rPr>
        <w:rFonts w:hint="default"/>
      </w:rPr>
    </w:lvl>
  </w:abstractNum>
  <w:abstractNum w:abstractNumId="23">
    <w:nsid w:val="2B37D785"/>
    <w:multiLevelType w:val="multilevel"/>
    <w:tmpl w:val="2B37D785"/>
    <w:lvl w:ilvl="0" w:tentative="0">
      <w:start w:val="2"/>
      <w:numFmt w:val="decimal"/>
      <w:lvlText w:val="%1."/>
      <w:lvlJc w:val="left"/>
      <w:pPr>
        <w:ind w:left="425" w:hanging="425"/>
      </w:pPr>
      <w:rPr>
        <w:rFonts w:hint="default"/>
      </w:rPr>
    </w:lvl>
    <w:lvl w:ilvl="1" w:tentative="0">
      <w:start w:val="1"/>
      <w:numFmt w:val="decimal"/>
      <w:suff w:val="space"/>
      <w:lvlText w:val="5.%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4">
    <w:nsid w:val="2DFA7745"/>
    <w:multiLevelType w:val="multilevel"/>
    <w:tmpl w:val="2DFA7745"/>
    <w:lvl w:ilvl="0" w:tentative="0">
      <w:start w:val="2"/>
      <w:numFmt w:val="decimal"/>
      <w:lvlText w:val="%1."/>
      <w:lvlJc w:val="left"/>
      <w:pPr>
        <w:ind w:left="425" w:hanging="425"/>
      </w:pPr>
      <w:rPr>
        <w:rFonts w:hint="default"/>
      </w:rPr>
    </w:lvl>
    <w:lvl w:ilvl="1" w:tentative="0">
      <w:start w:val="1"/>
      <w:numFmt w:val="decimal"/>
      <w:suff w:val="space"/>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5">
    <w:nsid w:val="33E71E97"/>
    <w:multiLevelType w:val="singleLevel"/>
    <w:tmpl w:val="33E71E97"/>
    <w:lvl w:ilvl="0" w:tentative="0">
      <w:start w:val="1"/>
      <w:numFmt w:val="decimal"/>
      <w:lvlText w:val="附件%1、"/>
      <w:lvlJc w:val="left"/>
      <w:pPr>
        <w:tabs>
          <w:tab w:val="left" w:pos="420"/>
        </w:tabs>
        <w:ind w:left="425" w:leftChars="0" w:hanging="425" w:firstLineChars="0"/>
      </w:pPr>
      <w:rPr>
        <w:rFonts w:hint="default" w:ascii="仿宋" w:hAnsi="仿宋" w:eastAsia="仿宋" w:cs="仿宋"/>
        <w:b w:val="0"/>
        <w:bCs w:val="0"/>
      </w:rPr>
    </w:lvl>
  </w:abstractNum>
  <w:abstractNum w:abstractNumId="26">
    <w:nsid w:val="3BC64439"/>
    <w:multiLevelType w:val="multilevel"/>
    <w:tmpl w:val="3BC64439"/>
    <w:lvl w:ilvl="0" w:tentative="0">
      <w:start w:val="8"/>
      <w:numFmt w:val="decimal"/>
      <w:lvlText w:val="%1."/>
      <w:lvlJc w:val="left"/>
      <w:pPr>
        <w:ind w:left="425" w:hanging="425"/>
      </w:pPr>
      <w:rPr>
        <w:rFonts w:hint="default"/>
      </w:rPr>
    </w:lvl>
    <w:lvl w:ilvl="1" w:tentative="0">
      <w:start w:val="1"/>
      <w:numFmt w:val="decimal"/>
      <w:suff w:val="space"/>
      <w:lvlText w:val="6.%2."/>
      <w:lvlJc w:val="left"/>
      <w:pPr>
        <w:tabs>
          <w:tab w:val="left" w:pos="0"/>
        </w:tabs>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7">
    <w:nsid w:val="3D42B165"/>
    <w:multiLevelType w:val="singleLevel"/>
    <w:tmpl w:val="3D42B165"/>
    <w:lvl w:ilvl="0" w:tentative="0">
      <w:start w:val="1"/>
      <w:numFmt w:val="bullet"/>
      <w:lvlText w:val=""/>
      <w:lvlJc w:val="left"/>
      <w:pPr>
        <w:ind w:left="420" w:hanging="420"/>
      </w:pPr>
      <w:rPr>
        <w:rFonts w:hint="default" w:ascii="Wingdings" w:hAnsi="Wingdings"/>
      </w:rPr>
    </w:lvl>
  </w:abstractNum>
  <w:abstractNum w:abstractNumId="28">
    <w:nsid w:val="41B16EF1"/>
    <w:multiLevelType w:val="multilevel"/>
    <w:tmpl w:val="41B16EF1"/>
    <w:lvl w:ilvl="0" w:tentative="0">
      <w:start w:val="1"/>
      <w:numFmt w:val="decimal"/>
      <w:lvlText w:val="%1"/>
      <w:lvlJc w:val="left"/>
      <w:pPr>
        <w:tabs>
          <w:tab w:val="left" w:pos="425"/>
        </w:tabs>
        <w:ind w:left="425" w:hanging="425"/>
      </w:pPr>
      <w:rPr>
        <w:rFonts w:hint="eastAsia"/>
      </w:rPr>
    </w:lvl>
    <w:lvl w:ilvl="1" w:tentative="0">
      <w:start w:val="1"/>
      <w:numFmt w:val="none"/>
      <w:lvlText w:val="1"/>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29">
    <w:nsid w:val="4295B9C9"/>
    <w:multiLevelType w:val="singleLevel"/>
    <w:tmpl w:val="4295B9C9"/>
    <w:lvl w:ilvl="0" w:tentative="0">
      <w:start w:val="1"/>
      <w:numFmt w:val="decimal"/>
      <w:lvlText w:val="%1)"/>
      <w:lvlJc w:val="left"/>
      <w:pPr>
        <w:ind w:left="425" w:hanging="425"/>
      </w:pPr>
      <w:rPr>
        <w:rFonts w:hint="default"/>
      </w:rPr>
    </w:lvl>
  </w:abstractNum>
  <w:abstractNum w:abstractNumId="30">
    <w:nsid w:val="4319DB23"/>
    <w:multiLevelType w:val="multilevel"/>
    <w:tmpl w:val="4319DB23"/>
    <w:lvl w:ilvl="0" w:tentative="0">
      <w:start w:val="2"/>
      <w:numFmt w:val="decimal"/>
      <w:lvlText w:val="%1."/>
      <w:lvlJc w:val="left"/>
      <w:pPr>
        <w:ind w:left="425" w:hanging="425"/>
      </w:pPr>
      <w:rPr>
        <w:rFonts w:hint="default"/>
      </w:rPr>
    </w:lvl>
    <w:lvl w:ilvl="1" w:tentative="0">
      <w:start w:val="1"/>
      <w:numFmt w:val="decimal"/>
      <w:lvlText w:val="4.%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1">
    <w:nsid w:val="4E28FF11"/>
    <w:multiLevelType w:val="singleLevel"/>
    <w:tmpl w:val="4E28FF11"/>
    <w:lvl w:ilvl="0" w:tentative="0">
      <w:start w:val="1"/>
      <w:numFmt w:val="decimal"/>
      <w:lvlText w:val="%1."/>
      <w:lvlJc w:val="left"/>
      <w:pPr>
        <w:ind w:left="425" w:hanging="425"/>
      </w:pPr>
      <w:rPr>
        <w:rFonts w:hint="default"/>
      </w:rPr>
    </w:lvl>
  </w:abstractNum>
  <w:abstractNum w:abstractNumId="32">
    <w:nsid w:val="50FEE07D"/>
    <w:multiLevelType w:val="multilevel"/>
    <w:tmpl w:val="50FEE07D"/>
    <w:lvl w:ilvl="0" w:tentative="0">
      <w:start w:val="4"/>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3">
    <w:nsid w:val="56BB0854"/>
    <w:multiLevelType w:val="multilevel"/>
    <w:tmpl w:val="56BB085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4">
    <w:nsid w:val="5CC623DB"/>
    <w:multiLevelType w:val="singleLevel"/>
    <w:tmpl w:val="5CC623DB"/>
    <w:lvl w:ilvl="0" w:tentative="0">
      <w:start w:val="1"/>
      <w:numFmt w:val="decimal"/>
      <w:lvlText w:val="%1)"/>
      <w:lvlJc w:val="left"/>
      <w:pPr>
        <w:ind w:left="425" w:hanging="425"/>
      </w:pPr>
      <w:rPr>
        <w:rFonts w:hint="default"/>
      </w:rPr>
    </w:lvl>
  </w:abstractNum>
  <w:abstractNum w:abstractNumId="35">
    <w:nsid w:val="6486D5E3"/>
    <w:multiLevelType w:val="singleLevel"/>
    <w:tmpl w:val="6486D5E3"/>
    <w:lvl w:ilvl="0" w:tentative="0">
      <w:start w:val="1"/>
      <w:numFmt w:val="decimal"/>
      <w:suff w:val="nothing"/>
      <w:lvlText w:val="%1、"/>
      <w:lvlJc w:val="left"/>
    </w:lvl>
  </w:abstractNum>
  <w:abstractNum w:abstractNumId="36">
    <w:nsid w:val="6DE315BF"/>
    <w:multiLevelType w:val="multilevel"/>
    <w:tmpl w:val="6DE315BF"/>
    <w:lvl w:ilvl="0" w:tentative="0">
      <w:start w:val="1"/>
      <w:numFmt w:val="decimal"/>
      <w:suff w:val="space"/>
      <w:lvlText w:val="5.%1."/>
      <w:lvlJc w:val="left"/>
      <w:pPr>
        <w:ind w:left="720" w:hanging="360"/>
      </w:pPr>
      <w:rPr>
        <w:rFonts w:hint="default"/>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1"/>
  </w:num>
  <w:num w:numId="2">
    <w:abstractNumId w:val="24"/>
  </w:num>
  <w:num w:numId="3">
    <w:abstractNumId w:val="1"/>
  </w:num>
  <w:num w:numId="4">
    <w:abstractNumId w:val="30"/>
  </w:num>
  <w:num w:numId="5">
    <w:abstractNumId w:val="23"/>
  </w:num>
  <w:num w:numId="6">
    <w:abstractNumId w:val="18"/>
  </w:num>
  <w:num w:numId="7">
    <w:abstractNumId w:val="17"/>
  </w:num>
  <w:num w:numId="8">
    <w:abstractNumId w:val="15"/>
  </w:num>
  <w:num w:numId="9">
    <w:abstractNumId w:val="11"/>
  </w:num>
  <w:num w:numId="10">
    <w:abstractNumId w:val="21"/>
  </w:num>
  <w:num w:numId="11">
    <w:abstractNumId w:val="13"/>
  </w:num>
  <w:num w:numId="12">
    <w:abstractNumId w:val="34"/>
  </w:num>
  <w:num w:numId="13">
    <w:abstractNumId w:val="12"/>
  </w:num>
  <w:num w:numId="14">
    <w:abstractNumId w:val="3"/>
  </w:num>
  <w:num w:numId="15">
    <w:abstractNumId w:val="32"/>
  </w:num>
  <w:num w:numId="16">
    <w:abstractNumId w:val="0"/>
  </w:num>
  <w:num w:numId="17">
    <w:abstractNumId w:val="5"/>
  </w:num>
  <w:num w:numId="18">
    <w:abstractNumId w:val="2"/>
  </w:num>
  <w:num w:numId="19">
    <w:abstractNumId w:val="4"/>
  </w:num>
  <w:num w:numId="20">
    <w:abstractNumId w:val="27"/>
  </w:num>
  <w:num w:numId="21">
    <w:abstractNumId w:val="10"/>
  </w:num>
  <w:num w:numId="22">
    <w:abstractNumId w:val="6"/>
  </w:num>
  <w:num w:numId="23">
    <w:abstractNumId w:val="14"/>
  </w:num>
  <w:num w:numId="24">
    <w:abstractNumId w:val="28"/>
  </w:num>
  <w:num w:numId="25">
    <w:abstractNumId w:val="7"/>
  </w:num>
  <w:num w:numId="26">
    <w:abstractNumId w:val="16"/>
  </w:num>
  <w:num w:numId="27">
    <w:abstractNumId w:val="20"/>
  </w:num>
  <w:num w:numId="28">
    <w:abstractNumId w:val="8"/>
  </w:num>
  <w:num w:numId="29">
    <w:abstractNumId w:val="36"/>
  </w:num>
  <w:num w:numId="30">
    <w:abstractNumId w:val="26"/>
  </w:num>
  <w:num w:numId="31">
    <w:abstractNumId w:val="29"/>
  </w:num>
  <w:num w:numId="32">
    <w:abstractNumId w:val="19"/>
  </w:num>
  <w:num w:numId="33">
    <w:abstractNumId w:val="25"/>
  </w:num>
  <w:num w:numId="34">
    <w:abstractNumId w:val="9"/>
  </w:num>
  <w:num w:numId="35">
    <w:abstractNumId w:val="35"/>
  </w:num>
  <w:num w:numId="36">
    <w:abstractNumId w:val="2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I1NWE3ZDAzNDc2YzM1ZWViYzBkMjE1ZTdmMmQwZjYifQ=="/>
  </w:docVars>
  <w:rsids>
    <w:rsidRoot w:val="69B24EF4"/>
    <w:rsid w:val="00010BAF"/>
    <w:rsid w:val="000773AE"/>
    <w:rsid w:val="000942B7"/>
    <w:rsid w:val="001704B2"/>
    <w:rsid w:val="00202694"/>
    <w:rsid w:val="00215AA4"/>
    <w:rsid w:val="00267350"/>
    <w:rsid w:val="002C0F80"/>
    <w:rsid w:val="002D0054"/>
    <w:rsid w:val="0034066E"/>
    <w:rsid w:val="003B69F0"/>
    <w:rsid w:val="003C28DE"/>
    <w:rsid w:val="0042541E"/>
    <w:rsid w:val="00443541"/>
    <w:rsid w:val="004F21B5"/>
    <w:rsid w:val="005E3007"/>
    <w:rsid w:val="006F1B85"/>
    <w:rsid w:val="007254B2"/>
    <w:rsid w:val="007D356C"/>
    <w:rsid w:val="008953F8"/>
    <w:rsid w:val="00A96CBE"/>
    <w:rsid w:val="00B4606A"/>
    <w:rsid w:val="00B65AF3"/>
    <w:rsid w:val="00BE7797"/>
    <w:rsid w:val="00C44682"/>
    <w:rsid w:val="00C50B26"/>
    <w:rsid w:val="00C86A31"/>
    <w:rsid w:val="00CC76C0"/>
    <w:rsid w:val="00CE72AE"/>
    <w:rsid w:val="00DF3733"/>
    <w:rsid w:val="00EB20E3"/>
    <w:rsid w:val="00ED5986"/>
    <w:rsid w:val="01001B5E"/>
    <w:rsid w:val="010136E5"/>
    <w:rsid w:val="011078C7"/>
    <w:rsid w:val="01170C55"/>
    <w:rsid w:val="012B64AF"/>
    <w:rsid w:val="013712F7"/>
    <w:rsid w:val="013C147D"/>
    <w:rsid w:val="01423F24"/>
    <w:rsid w:val="014D3B43"/>
    <w:rsid w:val="01574564"/>
    <w:rsid w:val="015E0632"/>
    <w:rsid w:val="0188476F"/>
    <w:rsid w:val="018C33F1"/>
    <w:rsid w:val="01916C5A"/>
    <w:rsid w:val="01AC5842"/>
    <w:rsid w:val="01BE7323"/>
    <w:rsid w:val="01C761D7"/>
    <w:rsid w:val="01CE3A0A"/>
    <w:rsid w:val="01D31020"/>
    <w:rsid w:val="01F06197"/>
    <w:rsid w:val="01FD609D"/>
    <w:rsid w:val="020205DC"/>
    <w:rsid w:val="02145195"/>
    <w:rsid w:val="021F7DC1"/>
    <w:rsid w:val="02201E81"/>
    <w:rsid w:val="023047CD"/>
    <w:rsid w:val="024912E2"/>
    <w:rsid w:val="024E4B4B"/>
    <w:rsid w:val="02511F45"/>
    <w:rsid w:val="02532161"/>
    <w:rsid w:val="02566985"/>
    <w:rsid w:val="027C16B8"/>
    <w:rsid w:val="027F4D04"/>
    <w:rsid w:val="028C11CF"/>
    <w:rsid w:val="02901FFA"/>
    <w:rsid w:val="029307AF"/>
    <w:rsid w:val="02AE0449"/>
    <w:rsid w:val="02BF3569"/>
    <w:rsid w:val="02C24BF1"/>
    <w:rsid w:val="02C567F7"/>
    <w:rsid w:val="02C80459"/>
    <w:rsid w:val="02C941D1"/>
    <w:rsid w:val="02CF7A3A"/>
    <w:rsid w:val="02DF03A3"/>
    <w:rsid w:val="02E1776D"/>
    <w:rsid w:val="02E64D83"/>
    <w:rsid w:val="03060F81"/>
    <w:rsid w:val="03086AA8"/>
    <w:rsid w:val="030B6598"/>
    <w:rsid w:val="030D2310"/>
    <w:rsid w:val="03192750"/>
    <w:rsid w:val="03247659"/>
    <w:rsid w:val="0327306B"/>
    <w:rsid w:val="03327FC8"/>
    <w:rsid w:val="0348159A"/>
    <w:rsid w:val="034C72DC"/>
    <w:rsid w:val="036D2DAF"/>
    <w:rsid w:val="037427B6"/>
    <w:rsid w:val="037F60EF"/>
    <w:rsid w:val="03906A9D"/>
    <w:rsid w:val="03912F41"/>
    <w:rsid w:val="039E11BA"/>
    <w:rsid w:val="03A17B76"/>
    <w:rsid w:val="03CE5F43"/>
    <w:rsid w:val="03D41080"/>
    <w:rsid w:val="03F82FC0"/>
    <w:rsid w:val="03F86B1C"/>
    <w:rsid w:val="04133956"/>
    <w:rsid w:val="04135935"/>
    <w:rsid w:val="04163446"/>
    <w:rsid w:val="041B0A5C"/>
    <w:rsid w:val="042B5143"/>
    <w:rsid w:val="0430275A"/>
    <w:rsid w:val="043164D2"/>
    <w:rsid w:val="0433224A"/>
    <w:rsid w:val="04361E49"/>
    <w:rsid w:val="043D4E77"/>
    <w:rsid w:val="043F299D"/>
    <w:rsid w:val="04402271"/>
    <w:rsid w:val="044955CA"/>
    <w:rsid w:val="044B1342"/>
    <w:rsid w:val="044E0E32"/>
    <w:rsid w:val="0451447E"/>
    <w:rsid w:val="045F6B9B"/>
    <w:rsid w:val="04614859"/>
    <w:rsid w:val="0465470A"/>
    <w:rsid w:val="046B3792"/>
    <w:rsid w:val="046B5540"/>
    <w:rsid w:val="04755E08"/>
    <w:rsid w:val="04781A0B"/>
    <w:rsid w:val="047F0FEB"/>
    <w:rsid w:val="048C3708"/>
    <w:rsid w:val="04A15406"/>
    <w:rsid w:val="04A435BB"/>
    <w:rsid w:val="04BD705C"/>
    <w:rsid w:val="04BF3ADE"/>
    <w:rsid w:val="04C82992"/>
    <w:rsid w:val="04CE3D21"/>
    <w:rsid w:val="04D07A99"/>
    <w:rsid w:val="04D22320"/>
    <w:rsid w:val="04D23811"/>
    <w:rsid w:val="04F46CA9"/>
    <w:rsid w:val="04F5388F"/>
    <w:rsid w:val="04F543C1"/>
    <w:rsid w:val="04F66220"/>
    <w:rsid w:val="04FD0162"/>
    <w:rsid w:val="05031C1C"/>
    <w:rsid w:val="050A5D37"/>
    <w:rsid w:val="050B0AD1"/>
    <w:rsid w:val="054B59CA"/>
    <w:rsid w:val="054F6C10"/>
    <w:rsid w:val="055406CA"/>
    <w:rsid w:val="05551D4C"/>
    <w:rsid w:val="05634469"/>
    <w:rsid w:val="05657D6E"/>
    <w:rsid w:val="05776166"/>
    <w:rsid w:val="05777F14"/>
    <w:rsid w:val="057A17B3"/>
    <w:rsid w:val="05831B99"/>
    <w:rsid w:val="05A6791B"/>
    <w:rsid w:val="05A84572"/>
    <w:rsid w:val="05AC2C48"/>
    <w:rsid w:val="05BB0A3C"/>
    <w:rsid w:val="05BE1FE7"/>
    <w:rsid w:val="05C375FE"/>
    <w:rsid w:val="05D84E57"/>
    <w:rsid w:val="05DB756C"/>
    <w:rsid w:val="05DC421B"/>
    <w:rsid w:val="05E76E48"/>
    <w:rsid w:val="05EA06E6"/>
    <w:rsid w:val="05EA4B8A"/>
    <w:rsid w:val="05F41565"/>
    <w:rsid w:val="060A2952"/>
    <w:rsid w:val="0619721E"/>
    <w:rsid w:val="06216DCD"/>
    <w:rsid w:val="06287461"/>
    <w:rsid w:val="064918B1"/>
    <w:rsid w:val="065168BB"/>
    <w:rsid w:val="065D28E8"/>
    <w:rsid w:val="065E2E82"/>
    <w:rsid w:val="066D1AB1"/>
    <w:rsid w:val="066E1317"/>
    <w:rsid w:val="067556FF"/>
    <w:rsid w:val="068648B3"/>
    <w:rsid w:val="068B011B"/>
    <w:rsid w:val="06986394"/>
    <w:rsid w:val="069D1BFD"/>
    <w:rsid w:val="06A07F97"/>
    <w:rsid w:val="06A42F8B"/>
    <w:rsid w:val="06CD0F5D"/>
    <w:rsid w:val="06D849E3"/>
    <w:rsid w:val="06DB44D3"/>
    <w:rsid w:val="06DC3451"/>
    <w:rsid w:val="06E45A7E"/>
    <w:rsid w:val="0705451D"/>
    <w:rsid w:val="070677A2"/>
    <w:rsid w:val="070954E4"/>
    <w:rsid w:val="071E0F8F"/>
    <w:rsid w:val="071F0864"/>
    <w:rsid w:val="07267E44"/>
    <w:rsid w:val="072D4D2F"/>
    <w:rsid w:val="075F5104"/>
    <w:rsid w:val="076170CE"/>
    <w:rsid w:val="077010BF"/>
    <w:rsid w:val="07702E6D"/>
    <w:rsid w:val="07827A81"/>
    <w:rsid w:val="07B32C81"/>
    <w:rsid w:val="07B611C8"/>
    <w:rsid w:val="07B74F40"/>
    <w:rsid w:val="07D17DB0"/>
    <w:rsid w:val="07E07FF3"/>
    <w:rsid w:val="07E51AAD"/>
    <w:rsid w:val="07E55609"/>
    <w:rsid w:val="07F4584C"/>
    <w:rsid w:val="07FB6BDB"/>
    <w:rsid w:val="080812F8"/>
    <w:rsid w:val="0831781A"/>
    <w:rsid w:val="083420ED"/>
    <w:rsid w:val="083E7818"/>
    <w:rsid w:val="084560A8"/>
    <w:rsid w:val="08470072"/>
    <w:rsid w:val="0859714B"/>
    <w:rsid w:val="085B58CB"/>
    <w:rsid w:val="08640C24"/>
    <w:rsid w:val="08793FA4"/>
    <w:rsid w:val="088210AA"/>
    <w:rsid w:val="08843074"/>
    <w:rsid w:val="088C017B"/>
    <w:rsid w:val="088F0ECB"/>
    <w:rsid w:val="089A2898"/>
    <w:rsid w:val="089D4136"/>
    <w:rsid w:val="089E3A0A"/>
    <w:rsid w:val="08A13C26"/>
    <w:rsid w:val="08B8700D"/>
    <w:rsid w:val="08BE0268"/>
    <w:rsid w:val="08BF22FE"/>
    <w:rsid w:val="08C066F7"/>
    <w:rsid w:val="08C711B3"/>
    <w:rsid w:val="08D062B9"/>
    <w:rsid w:val="08D631A4"/>
    <w:rsid w:val="08DA5840"/>
    <w:rsid w:val="08E03A85"/>
    <w:rsid w:val="08E6788B"/>
    <w:rsid w:val="08F875BE"/>
    <w:rsid w:val="08FD4BD5"/>
    <w:rsid w:val="090146C5"/>
    <w:rsid w:val="09102B5A"/>
    <w:rsid w:val="0920453C"/>
    <w:rsid w:val="093C74AB"/>
    <w:rsid w:val="09402D3E"/>
    <w:rsid w:val="09414AC1"/>
    <w:rsid w:val="096C05FE"/>
    <w:rsid w:val="097C01EF"/>
    <w:rsid w:val="097D1872"/>
    <w:rsid w:val="09880942"/>
    <w:rsid w:val="098970BB"/>
    <w:rsid w:val="098A5BFA"/>
    <w:rsid w:val="09907686"/>
    <w:rsid w:val="099512B1"/>
    <w:rsid w:val="09A3577C"/>
    <w:rsid w:val="09A90BA2"/>
    <w:rsid w:val="09A93033"/>
    <w:rsid w:val="09A97F18"/>
    <w:rsid w:val="09D27E0F"/>
    <w:rsid w:val="09DB4F16"/>
    <w:rsid w:val="09E71B0D"/>
    <w:rsid w:val="09F47D86"/>
    <w:rsid w:val="09F541A9"/>
    <w:rsid w:val="0A0F305E"/>
    <w:rsid w:val="0A1246B0"/>
    <w:rsid w:val="0A430D0D"/>
    <w:rsid w:val="0A434869"/>
    <w:rsid w:val="0A454A85"/>
    <w:rsid w:val="0A4725AB"/>
    <w:rsid w:val="0A4D7496"/>
    <w:rsid w:val="0A60541B"/>
    <w:rsid w:val="0A613B29"/>
    <w:rsid w:val="0A7D7D7B"/>
    <w:rsid w:val="0A821835"/>
    <w:rsid w:val="0A8530D4"/>
    <w:rsid w:val="0A894972"/>
    <w:rsid w:val="0A8C7FBE"/>
    <w:rsid w:val="0AA01CBB"/>
    <w:rsid w:val="0AA23C86"/>
    <w:rsid w:val="0AB15C77"/>
    <w:rsid w:val="0AB40C65"/>
    <w:rsid w:val="0AB47515"/>
    <w:rsid w:val="0ABE4166"/>
    <w:rsid w:val="0AC05EBA"/>
    <w:rsid w:val="0ACE0497"/>
    <w:rsid w:val="0AD57BB7"/>
    <w:rsid w:val="0ADA341F"/>
    <w:rsid w:val="0ADF7D5B"/>
    <w:rsid w:val="0AE16866"/>
    <w:rsid w:val="0AFA13CC"/>
    <w:rsid w:val="0AFB3396"/>
    <w:rsid w:val="0B0C2051"/>
    <w:rsid w:val="0B0F299D"/>
    <w:rsid w:val="0B1306DF"/>
    <w:rsid w:val="0B163D2C"/>
    <w:rsid w:val="0B1A3243"/>
    <w:rsid w:val="0B1D50BA"/>
    <w:rsid w:val="0B2F687A"/>
    <w:rsid w:val="0B3625B1"/>
    <w:rsid w:val="0B66458C"/>
    <w:rsid w:val="0B674587"/>
    <w:rsid w:val="0B72540E"/>
    <w:rsid w:val="0B7F3FC7"/>
    <w:rsid w:val="0B8B296C"/>
    <w:rsid w:val="0BA8707A"/>
    <w:rsid w:val="0BB73761"/>
    <w:rsid w:val="0BBF4E52"/>
    <w:rsid w:val="0BC02051"/>
    <w:rsid w:val="0BCD6AE0"/>
    <w:rsid w:val="0BDF6813"/>
    <w:rsid w:val="0BE45BD8"/>
    <w:rsid w:val="0BE65DF4"/>
    <w:rsid w:val="0C006EB6"/>
    <w:rsid w:val="0C281F69"/>
    <w:rsid w:val="0C2A5CE1"/>
    <w:rsid w:val="0C2C7CAB"/>
    <w:rsid w:val="0C476893"/>
    <w:rsid w:val="0C4F5747"/>
    <w:rsid w:val="0C526FE5"/>
    <w:rsid w:val="0C601702"/>
    <w:rsid w:val="0C61242F"/>
    <w:rsid w:val="0C6C62F9"/>
    <w:rsid w:val="0C73531D"/>
    <w:rsid w:val="0C7A1847"/>
    <w:rsid w:val="0C857FD9"/>
    <w:rsid w:val="0C951BC9"/>
    <w:rsid w:val="0C965124"/>
    <w:rsid w:val="0CB657C6"/>
    <w:rsid w:val="0CCA3020"/>
    <w:rsid w:val="0CE6772A"/>
    <w:rsid w:val="0CE71E24"/>
    <w:rsid w:val="0CEB1914"/>
    <w:rsid w:val="0CF02218"/>
    <w:rsid w:val="0D020A0B"/>
    <w:rsid w:val="0D0E62C0"/>
    <w:rsid w:val="0D1476E9"/>
    <w:rsid w:val="0D162709"/>
    <w:rsid w:val="0D237CB2"/>
    <w:rsid w:val="0D4D6BD9"/>
    <w:rsid w:val="0D506A43"/>
    <w:rsid w:val="0D5D758D"/>
    <w:rsid w:val="0D662D48"/>
    <w:rsid w:val="0D6E42F3"/>
    <w:rsid w:val="0D7D0092"/>
    <w:rsid w:val="0D8256A8"/>
    <w:rsid w:val="0D835F05"/>
    <w:rsid w:val="0D8D61C7"/>
    <w:rsid w:val="0D8F607F"/>
    <w:rsid w:val="0D95362E"/>
    <w:rsid w:val="0D9D24E2"/>
    <w:rsid w:val="0D9E6986"/>
    <w:rsid w:val="0DA63A8D"/>
    <w:rsid w:val="0DB55A7E"/>
    <w:rsid w:val="0DEB3227"/>
    <w:rsid w:val="0DEB5944"/>
    <w:rsid w:val="0DEE2D3E"/>
    <w:rsid w:val="0DFB5521"/>
    <w:rsid w:val="0E0662D9"/>
    <w:rsid w:val="0E295443"/>
    <w:rsid w:val="0E2F3A82"/>
    <w:rsid w:val="0E395136"/>
    <w:rsid w:val="0E443C86"/>
    <w:rsid w:val="0E4F1A2E"/>
    <w:rsid w:val="0E52151F"/>
    <w:rsid w:val="0E564BE8"/>
    <w:rsid w:val="0E590AFF"/>
    <w:rsid w:val="0E601E8E"/>
    <w:rsid w:val="0E6059EA"/>
    <w:rsid w:val="0E8611C8"/>
    <w:rsid w:val="0EC3241C"/>
    <w:rsid w:val="0EC57F43"/>
    <w:rsid w:val="0EC71F0D"/>
    <w:rsid w:val="0ECE329B"/>
    <w:rsid w:val="0ED5251F"/>
    <w:rsid w:val="0F1467D4"/>
    <w:rsid w:val="0F1B1E6C"/>
    <w:rsid w:val="0F1F3AF7"/>
    <w:rsid w:val="0F24110D"/>
    <w:rsid w:val="0F256C33"/>
    <w:rsid w:val="0F3330FE"/>
    <w:rsid w:val="0F340C24"/>
    <w:rsid w:val="0F3A79F3"/>
    <w:rsid w:val="0F50707B"/>
    <w:rsid w:val="0F5F5CA1"/>
    <w:rsid w:val="0F6A34AA"/>
    <w:rsid w:val="0F6E4136"/>
    <w:rsid w:val="0F7B6853"/>
    <w:rsid w:val="0F7D6A6F"/>
    <w:rsid w:val="0F7F4595"/>
    <w:rsid w:val="0F87344A"/>
    <w:rsid w:val="0F8971C2"/>
    <w:rsid w:val="0F900551"/>
    <w:rsid w:val="0F9444EB"/>
    <w:rsid w:val="0F957915"/>
    <w:rsid w:val="0F9B62BF"/>
    <w:rsid w:val="0FBD0C1A"/>
    <w:rsid w:val="0FBD50BE"/>
    <w:rsid w:val="0FC95811"/>
    <w:rsid w:val="0FD77F2D"/>
    <w:rsid w:val="0FFC1742"/>
    <w:rsid w:val="1007595A"/>
    <w:rsid w:val="10086339"/>
    <w:rsid w:val="100F3B6B"/>
    <w:rsid w:val="101D790A"/>
    <w:rsid w:val="10401F77"/>
    <w:rsid w:val="106A7376"/>
    <w:rsid w:val="10797237"/>
    <w:rsid w:val="10817E99"/>
    <w:rsid w:val="109E0A4B"/>
    <w:rsid w:val="109E4EEF"/>
    <w:rsid w:val="10A0125F"/>
    <w:rsid w:val="10A122E9"/>
    <w:rsid w:val="10A6576A"/>
    <w:rsid w:val="10AC13BA"/>
    <w:rsid w:val="10AD0C8E"/>
    <w:rsid w:val="10C304B2"/>
    <w:rsid w:val="10D426BF"/>
    <w:rsid w:val="10DE353E"/>
    <w:rsid w:val="10EE64BB"/>
    <w:rsid w:val="11036B00"/>
    <w:rsid w:val="11063794"/>
    <w:rsid w:val="1111121D"/>
    <w:rsid w:val="111331E7"/>
    <w:rsid w:val="111451B1"/>
    <w:rsid w:val="11151D95"/>
    <w:rsid w:val="111822BF"/>
    <w:rsid w:val="111B6540"/>
    <w:rsid w:val="111F7DDE"/>
    <w:rsid w:val="112C6057"/>
    <w:rsid w:val="114950F1"/>
    <w:rsid w:val="115B2DE0"/>
    <w:rsid w:val="11627CCB"/>
    <w:rsid w:val="116577BB"/>
    <w:rsid w:val="116A4DD1"/>
    <w:rsid w:val="118B7221"/>
    <w:rsid w:val="11A74756"/>
    <w:rsid w:val="11C16BFA"/>
    <w:rsid w:val="11C75D80"/>
    <w:rsid w:val="11CC15E8"/>
    <w:rsid w:val="11D706B9"/>
    <w:rsid w:val="11F0177A"/>
    <w:rsid w:val="11F34DC7"/>
    <w:rsid w:val="11F36B75"/>
    <w:rsid w:val="12105979"/>
    <w:rsid w:val="121E0096"/>
    <w:rsid w:val="1222640B"/>
    <w:rsid w:val="123A29F6"/>
    <w:rsid w:val="1246139A"/>
    <w:rsid w:val="12541D09"/>
    <w:rsid w:val="12633A60"/>
    <w:rsid w:val="12661A3D"/>
    <w:rsid w:val="127E603A"/>
    <w:rsid w:val="12816876"/>
    <w:rsid w:val="12850115"/>
    <w:rsid w:val="128D6FC9"/>
    <w:rsid w:val="12936A38"/>
    <w:rsid w:val="129476E5"/>
    <w:rsid w:val="12A165D1"/>
    <w:rsid w:val="12B24C82"/>
    <w:rsid w:val="12B409FA"/>
    <w:rsid w:val="12CF313E"/>
    <w:rsid w:val="12D82C44"/>
    <w:rsid w:val="12E017EF"/>
    <w:rsid w:val="12E60D8A"/>
    <w:rsid w:val="12FA35D5"/>
    <w:rsid w:val="13043067"/>
    <w:rsid w:val="13183ECD"/>
    <w:rsid w:val="13246561"/>
    <w:rsid w:val="132536A6"/>
    <w:rsid w:val="13287D47"/>
    <w:rsid w:val="133E2072"/>
    <w:rsid w:val="13497394"/>
    <w:rsid w:val="1367781A"/>
    <w:rsid w:val="137141F5"/>
    <w:rsid w:val="13750189"/>
    <w:rsid w:val="13762352"/>
    <w:rsid w:val="137912FC"/>
    <w:rsid w:val="138403CC"/>
    <w:rsid w:val="13960100"/>
    <w:rsid w:val="13A66F92"/>
    <w:rsid w:val="13A7230D"/>
    <w:rsid w:val="13AA7707"/>
    <w:rsid w:val="13C27702"/>
    <w:rsid w:val="13D04A28"/>
    <w:rsid w:val="13D64246"/>
    <w:rsid w:val="13E07B82"/>
    <w:rsid w:val="13E84D2D"/>
    <w:rsid w:val="13FF7A53"/>
    <w:rsid w:val="140854F2"/>
    <w:rsid w:val="14117786"/>
    <w:rsid w:val="141352AC"/>
    <w:rsid w:val="14151024"/>
    <w:rsid w:val="14157276"/>
    <w:rsid w:val="142A4013"/>
    <w:rsid w:val="143F60A1"/>
    <w:rsid w:val="145204CA"/>
    <w:rsid w:val="14667AD2"/>
    <w:rsid w:val="147F0B94"/>
    <w:rsid w:val="14891A12"/>
    <w:rsid w:val="148B46C1"/>
    <w:rsid w:val="149363ED"/>
    <w:rsid w:val="14965172"/>
    <w:rsid w:val="14BA7E1E"/>
    <w:rsid w:val="14BB3CD3"/>
    <w:rsid w:val="14D47131"/>
    <w:rsid w:val="14FC3F92"/>
    <w:rsid w:val="152B3891"/>
    <w:rsid w:val="15331ABA"/>
    <w:rsid w:val="15543DCE"/>
    <w:rsid w:val="15A22D8C"/>
    <w:rsid w:val="15B30AF5"/>
    <w:rsid w:val="15DD2016"/>
    <w:rsid w:val="15E433A4"/>
    <w:rsid w:val="15F555B1"/>
    <w:rsid w:val="15F64E85"/>
    <w:rsid w:val="15FA4976"/>
    <w:rsid w:val="160752E5"/>
    <w:rsid w:val="1609105D"/>
    <w:rsid w:val="160E0421"/>
    <w:rsid w:val="162C3366"/>
    <w:rsid w:val="162E2871"/>
    <w:rsid w:val="163634D4"/>
    <w:rsid w:val="163B6372"/>
    <w:rsid w:val="164200CB"/>
    <w:rsid w:val="16465E0D"/>
    <w:rsid w:val="164E081E"/>
    <w:rsid w:val="165658CA"/>
    <w:rsid w:val="16692350"/>
    <w:rsid w:val="166A38C9"/>
    <w:rsid w:val="167C182F"/>
    <w:rsid w:val="16866209"/>
    <w:rsid w:val="16893F4C"/>
    <w:rsid w:val="16897AA8"/>
    <w:rsid w:val="168B2846"/>
    <w:rsid w:val="169528F0"/>
    <w:rsid w:val="16A80D4A"/>
    <w:rsid w:val="16A80E4F"/>
    <w:rsid w:val="16B34B25"/>
    <w:rsid w:val="16CD208A"/>
    <w:rsid w:val="16CD3E38"/>
    <w:rsid w:val="16CF7209"/>
    <w:rsid w:val="16E61420"/>
    <w:rsid w:val="16EF2001"/>
    <w:rsid w:val="16FF13CB"/>
    <w:rsid w:val="16FF71EE"/>
    <w:rsid w:val="1720665E"/>
    <w:rsid w:val="172B7C90"/>
    <w:rsid w:val="17485BB5"/>
    <w:rsid w:val="174A365D"/>
    <w:rsid w:val="174A5FD4"/>
    <w:rsid w:val="1772203E"/>
    <w:rsid w:val="177E3384"/>
    <w:rsid w:val="1796247C"/>
    <w:rsid w:val="179928AA"/>
    <w:rsid w:val="179D7CAF"/>
    <w:rsid w:val="17B2302E"/>
    <w:rsid w:val="17B7437E"/>
    <w:rsid w:val="17D15BAA"/>
    <w:rsid w:val="17F13B56"/>
    <w:rsid w:val="17F758CF"/>
    <w:rsid w:val="18137F71"/>
    <w:rsid w:val="18245CDA"/>
    <w:rsid w:val="18316649"/>
    <w:rsid w:val="183A1CF6"/>
    <w:rsid w:val="1845308C"/>
    <w:rsid w:val="184C5231"/>
    <w:rsid w:val="18552337"/>
    <w:rsid w:val="185F7FD8"/>
    <w:rsid w:val="18650035"/>
    <w:rsid w:val="18730A0F"/>
    <w:rsid w:val="188B3FAB"/>
    <w:rsid w:val="189B3AC2"/>
    <w:rsid w:val="18AE37F5"/>
    <w:rsid w:val="18B22FBB"/>
    <w:rsid w:val="18B708FC"/>
    <w:rsid w:val="18DA283C"/>
    <w:rsid w:val="18ED2570"/>
    <w:rsid w:val="190D2C12"/>
    <w:rsid w:val="19137AFC"/>
    <w:rsid w:val="192166BD"/>
    <w:rsid w:val="1928066A"/>
    <w:rsid w:val="192D0BBE"/>
    <w:rsid w:val="192D5C43"/>
    <w:rsid w:val="193A32DB"/>
    <w:rsid w:val="193C52A5"/>
    <w:rsid w:val="19410B0E"/>
    <w:rsid w:val="194523AC"/>
    <w:rsid w:val="19493F75"/>
    <w:rsid w:val="19566367"/>
    <w:rsid w:val="19661ECC"/>
    <w:rsid w:val="196D36B1"/>
    <w:rsid w:val="197E141A"/>
    <w:rsid w:val="197E766C"/>
    <w:rsid w:val="198B3B37"/>
    <w:rsid w:val="19A4163F"/>
    <w:rsid w:val="19B337B9"/>
    <w:rsid w:val="19BE5CBA"/>
    <w:rsid w:val="19C5529B"/>
    <w:rsid w:val="19C70962"/>
    <w:rsid w:val="19CA0B03"/>
    <w:rsid w:val="19D21766"/>
    <w:rsid w:val="19E27BFB"/>
    <w:rsid w:val="19F17E3E"/>
    <w:rsid w:val="1A0B2C54"/>
    <w:rsid w:val="1A10235E"/>
    <w:rsid w:val="1A18427C"/>
    <w:rsid w:val="1A255D39"/>
    <w:rsid w:val="1A310B82"/>
    <w:rsid w:val="1A453DDA"/>
    <w:rsid w:val="1A4C1518"/>
    <w:rsid w:val="1A6B6059"/>
    <w:rsid w:val="1A6E4E3F"/>
    <w:rsid w:val="1A766595"/>
    <w:rsid w:val="1A7B236F"/>
    <w:rsid w:val="1A7F18ED"/>
    <w:rsid w:val="1A8C7B66"/>
    <w:rsid w:val="1AD0039B"/>
    <w:rsid w:val="1ADF413A"/>
    <w:rsid w:val="1AE81873"/>
    <w:rsid w:val="1AF04599"/>
    <w:rsid w:val="1AF44089"/>
    <w:rsid w:val="1B097409"/>
    <w:rsid w:val="1B1D4A49"/>
    <w:rsid w:val="1B2D759B"/>
    <w:rsid w:val="1B373F76"/>
    <w:rsid w:val="1B544B28"/>
    <w:rsid w:val="1B701236"/>
    <w:rsid w:val="1B8003C8"/>
    <w:rsid w:val="1B917B2A"/>
    <w:rsid w:val="1B9238A2"/>
    <w:rsid w:val="1B9413C8"/>
    <w:rsid w:val="1BA01B1B"/>
    <w:rsid w:val="1BAD5FE6"/>
    <w:rsid w:val="1BB05AD7"/>
    <w:rsid w:val="1BB9498B"/>
    <w:rsid w:val="1BCF0653"/>
    <w:rsid w:val="1BD17F27"/>
    <w:rsid w:val="1BE91714"/>
    <w:rsid w:val="1BF81957"/>
    <w:rsid w:val="1BFE6842"/>
    <w:rsid w:val="1C153A84"/>
    <w:rsid w:val="1C2919DE"/>
    <w:rsid w:val="1C3109C5"/>
    <w:rsid w:val="1C580648"/>
    <w:rsid w:val="1C5B5A42"/>
    <w:rsid w:val="1C6E7E6B"/>
    <w:rsid w:val="1C7B2C32"/>
    <w:rsid w:val="1C7F5BD5"/>
    <w:rsid w:val="1C8E406A"/>
    <w:rsid w:val="1C9A47BD"/>
    <w:rsid w:val="1CA4563B"/>
    <w:rsid w:val="1CBC0BD7"/>
    <w:rsid w:val="1CBE60B1"/>
    <w:rsid w:val="1CC23511"/>
    <w:rsid w:val="1CE24F22"/>
    <w:rsid w:val="1CF2284B"/>
    <w:rsid w:val="1CFC5477"/>
    <w:rsid w:val="1D0165EA"/>
    <w:rsid w:val="1D077978"/>
    <w:rsid w:val="1D0C4F8F"/>
    <w:rsid w:val="1D0E0D07"/>
    <w:rsid w:val="1D125B19"/>
    <w:rsid w:val="1D1F4CC2"/>
    <w:rsid w:val="1D2D3883"/>
    <w:rsid w:val="1D2F75FB"/>
    <w:rsid w:val="1D300C7D"/>
    <w:rsid w:val="1D375324"/>
    <w:rsid w:val="1D3764AF"/>
    <w:rsid w:val="1D4C323B"/>
    <w:rsid w:val="1D4D5CD3"/>
    <w:rsid w:val="1D4E37F9"/>
    <w:rsid w:val="1D641DD6"/>
    <w:rsid w:val="1D756FD8"/>
    <w:rsid w:val="1DAF4298"/>
    <w:rsid w:val="1DBC69B5"/>
    <w:rsid w:val="1DCB4E4A"/>
    <w:rsid w:val="1DD0420E"/>
    <w:rsid w:val="1DD43CFE"/>
    <w:rsid w:val="1DD553C5"/>
    <w:rsid w:val="1DEA3522"/>
    <w:rsid w:val="1DF4614E"/>
    <w:rsid w:val="1DFE0D7B"/>
    <w:rsid w:val="1E053B3A"/>
    <w:rsid w:val="1E0B0E08"/>
    <w:rsid w:val="1E0D5462"/>
    <w:rsid w:val="1E1F09AE"/>
    <w:rsid w:val="1E220CFB"/>
    <w:rsid w:val="1E3E73CA"/>
    <w:rsid w:val="1E54734D"/>
    <w:rsid w:val="1E5651A0"/>
    <w:rsid w:val="1E5D1F46"/>
    <w:rsid w:val="1E605C7A"/>
    <w:rsid w:val="1E764DB5"/>
    <w:rsid w:val="1E786D7F"/>
    <w:rsid w:val="1E875215"/>
    <w:rsid w:val="1EA336D1"/>
    <w:rsid w:val="1ED10544"/>
    <w:rsid w:val="1ED16490"/>
    <w:rsid w:val="1ED35C11"/>
    <w:rsid w:val="1EDD6BE3"/>
    <w:rsid w:val="1EE95587"/>
    <w:rsid w:val="1EF02DBA"/>
    <w:rsid w:val="1EF65EF6"/>
    <w:rsid w:val="1EFD7285"/>
    <w:rsid w:val="1F015E9B"/>
    <w:rsid w:val="1F0423C1"/>
    <w:rsid w:val="1F152820"/>
    <w:rsid w:val="1F2622CA"/>
    <w:rsid w:val="1F2B2044"/>
    <w:rsid w:val="1F38206B"/>
    <w:rsid w:val="1F3A624F"/>
    <w:rsid w:val="1F3B66CD"/>
    <w:rsid w:val="1F3D58D3"/>
    <w:rsid w:val="1F4849A4"/>
    <w:rsid w:val="1F49071C"/>
    <w:rsid w:val="1F4C5B16"/>
    <w:rsid w:val="1F542D32"/>
    <w:rsid w:val="1F5D7D23"/>
    <w:rsid w:val="1F5F1CED"/>
    <w:rsid w:val="1F6B146E"/>
    <w:rsid w:val="1F973235"/>
    <w:rsid w:val="1F9738D2"/>
    <w:rsid w:val="1F9951FF"/>
    <w:rsid w:val="1FA3607E"/>
    <w:rsid w:val="1FA94D17"/>
    <w:rsid w:val="1FAA46E1"/>
    <w:rsid w:val="1FB2006F"/>
    <w:rsid w:val="1FC9047A"/>
    <w:rsid w:val="1FD72F0D"/>
    <w:rsid w:val="1FE30229"/>
    <w:rsid w:val="1FE52FF0"/>
    <w:rsid w:val="1FE87F35"/>
    <w:rsid w:val="1FFE7623"/>
    <w:rsid w:val="200525B4"/>
    <w:rsid w:val="20087C8F"/>
    <w:rsid w:val="202D76F6"/>
    <w:rsid w:val="20350AB8"/>
    <w:rsid w:val="203C5B8B"/>
    <w:rsid w:val="20547378"/>
    <w:rsid w:val="20803CC9"/>
    <w:rsid w:val="20811742"/>
    <w:rsid w:val="208E288A"/>
    <w:rsid w:val="20A200E4"/>
    <w:rsid w:val="20A91472"/>
    <w:rsid w:val="20AA6F98"/>
    <w:rsid w:val="20D9162C"/>
    <w:rsid w:val="20DD55C0"/>
    <w:rsid w:val="20E24984"/>
    <w:rsid w:val="20ED453F"/>
    <w:rsid w:val="20F15032"/>
    <w:rsid w:val="21182154"/>
    <w:rsid w:val="211D59BC"/>
    <w:rsid w:val="21295303"/>
    <w:rsid w:val="212961E3"/>
    <w:rsid w:val="213429EB"/>
    <w:rsid w:val="213A656E"/>
    <w:rsid w:val="215B0293"/>
    <w:rsid w:val="21611D4D"/>
    <w:rsid w:val="21676C37"/>
    <w:rsid w:val="217750CC"/>
    <w:rsid w:val="217C26E3"/>
    <w:rsid w:val="21871088"/>
    <w:rsid w:val="21893052"/>
    <w:rsid w:val="218E0668"/>
    <w:rsid w:val="21D818E3"/>
    <w:rsid w:val="21D92B73"/>
    <w:rsid w:val="21E169EA"/>
    <w:rsid w:val="21E93AF0"/>
    <w:rsid w:val="21ED35E0"/>
    <w:rsid w:val="21F229A5"/>
    <w:rsid w:val="21F4671D"/>
    <w:rsid w:val="21F47C60"/>
    <w:rsid w:val="223E208E"/>
    <w:rsid w:val="2246731B"/>
    <w:rsid w:val="22596EC8"/>
    <w:rsid w:val="225F35EB"/>
    <w:rsid w:val="226755FF"/>
    <w:rsid w:val="226A4C31"/>
    <w:rsid w:val="2274785E"/>
    <w:rsid w:val="22883787"/>
    <w:rsid w:val="228C104B"/>
    <w:rsid w:val="22934188"/>
    <w:rsid w:val="22A20E20"/>
    <w:rsid w:val="22A5210D"/>
    <w:rsid w:val="22AC524A"/>
    <w:rsid w:val="22B81E40"/>
    <w:rsid w:val="22B934C3"/>
    <w:rsid w:val="22C2681B"/>
    <w:rsid w:val="22CC769A"/>
    <w:rsid w:val="22D87DED"/>
    <w:rsid w:val="22DD3EF8"/>
    <w:rsid w:val="23384D2F"/>
    <w:rsid w:val="234F423B"/>
    <w:rsid w:val="23571659"/>
    <w:rsid w:val="23634281"/>
    <w:rsid w:val="236C49D9"/>
    <w:rsid w:val="236E1FBB"/>
    <w:rsid w:val="237D2742"/>
    <w:rsid w:val="238C6E29"/>
    <w:rsid w:val="2393640A"/>
    <w:rsid w:val="23953F30"/>
    <w:rsid w:val="23956B33"/>
    <w:rsid w:val="239F6B5C"/>
    <w:rsid w:val="23C26D70"/>
    <w:rsid w:val="23C478A5"/>
    <w:rsid w:val="23CB53E5"/>
    <w:rsid w:val="23E10F23"/>
    <w:rsid w:val="23E26A49"/>
    <w:rsid w:val="23E7405F"/>
    <w:rsid w:val="23EF1892"/>
    <w:rsid w:val="23FA3D93"/>
    <w:rsid w:val="24084702"/>
    <w:rsid w:val="24107A5A"/>
    <w:rsid w:val="2412732E"/>
    <w:rsid w:val="24141312"/>
    <w:rsid w:val="24315D71"/>
    <w:rsid w:val="24373239"/>
    <w:rsid w:val="24415D5A"/>
    <w:rsid w:val="244930D6"/>
    <w:rsid w:val="245023F3"/>
    <w:rsid w:val="2451443E"/>
    <w:rsid w:val="24681644"/>
    <w:rsid w:val="247578BD"/>
    <w:rsid w:val="248612E1"/>
    <w:rsid w:val="24905D90"/>
    <w:rsid w:val="249B37C8"/>
    <w:rsid w:val="24AE34FB"/>
    <w:rsid w:val="24B65F0C"/>
    <w:rsid w:val="24B71C84"/>
    <w:rsid w:val="24B90AFA"/>
    <w:rsid w:val="24C60FA1"/>
    <w:rsid w:val="24CD6185"/>
    <w:rsid w:val="24D95746"/>
    <w:rsid w:val="24DB1E16"/>
    <w:rsid w:val="24E16D01"/>
    <w:rsid w:val="24E24F53"/>
    <w:rsid w:val="24EE7D9B"/>
    <w:rsid w:val="24EF141E"/>
    <w:rsid w:val="24F44C86"/>
    <w:rsid w:val="24F6231C"/>
    <w:rsid w:val="250550E5"/>
    <w:rsid w:val="250F1AC0"/>
    <w:rsid w:val="25140E84"/>
    <w:rsid w:val="251653FC"/>
    <w:rsid w:val="251F55CF"/>
    <w:rsid w:val="252512E3"/>
    <w:rsid w:val="25276E09"/>
    <w:rsid w:val="25311A36"/>
    <w:rsid w:val="2533755C"/>
    <w:rsid w:val="25534FFB"/>
    <w:rsid w:val="25553977"/>
    <w:rsid w:val="255F65A3"/>
    <w:rsid w:val="2560506F"/>
    <w:rsid w:val="25643BBA"/>
    <w:rsid w:val="256E4A38"/>
    <w:rsid w:val="25A95A70"/>
    <w:rsid w:val="25B6018D"/>
    <w:rsid w:val="25BA0D77"/>
    <w:rsid w:val="25C12DBA"/>
    <w:rsid w:val="25CE197B"/>
    <w:rsid w:val="25D9249B"/>
    <w:rsid w:val="25DB0625"/>
    <w:rsid w:val="25FC3DF2"/>
    <w:rsid w:val="26153106"/>
    <w:rsid w:val="26192BF6"/>
    <w:rsid w:val="26233A75"/>
    <w:rsid w:val="26263565"/>
    <w:rsid w:val="262A4E03"/>
    <w:rsid w:val="26321F0A"/>
    <w:rsid w:val="26431A21"/>
    <w:rsid w:val="264B2FCC"/>
    <w:rsid w:val="26591245"/>
    <w:rsid w:val="2661459D"/>
    <w:rsid w:val="266A35D2"/>
    <w:rsid w:val="26740622"/>
    <w:rsid w:val="26867B60"/>
    <w:rsid w:val="26B20955"/>
    <w:rsid w:val="26B96187"/>
    <w:rsid w:val="26BE72FA"/>
    <w:rsid w:val="26DB60FD"/>
    <w:rsid w:val="26DF6F43"/>
    <w:rsid w:val="26E34FB2"/>
    <w:rsid w:val="26E56F7C"/>
    <w:rsid w:val="26EA00EF"/>
    <w:rsid w:val="26EC20B9"/>
    <w:rsid w:val="26F1147D"/>
    <w:rsid w:val="27075144"/>
    <w:rsid w:val="27084A19"/>
    <w:rsid w:val="270C275B"/>
    <w:rsid w:val="27147861"/>
    <w:rsid w:val="27396120"/>
    <w:rsid w:val="27421CD9"/>
    <w:rsid w:val="27427F2B"/>
    <w:rsid w:val="27483067"/>
    <w:rsid w:val="277A3B68"/>
    <w:rsid w:val="277B4F42"/>
    <w:rsid w:val="277D0F63"/>
    <w:rsid w:val="278422F1"/>
    <w:rsid w:val="27912C60"/>
    <w:rsid w:val="27962024"/>
    <w:rsid w:val="27A32140"/>
    <w:rsid w:val="27AE736E"/>
    <w:rsid w:val="27B11213"/>
    <w:rsid w:val="27CE5C62"/>
    <w:rsid w:val="27E15995"/>
    <w:rsid w:val="27FA25B3"/>
    <w:rsid w:val="28074CD0"/>
    <w:rsid w:val="281C3AB6"/>
    <w:rsid w:val="281C4C20"/>
    <w:rsid w:val="28212236"/>
    <w:rsid w:val="28441A80"/>
    <w:rsid w:val="28447CD2"/>
    <w:rsid w:val="284B1061"/>
    <w:rsid w:val="284E48CB"/>
    <w:rsid w:val="28560FE8"/>
    <w:rsid w:val="285E0D94"/>
    <w:rsid w:val="285F68BA"/>
    <w:rsid w:val="28670F94"/>
    <w:rsid w:val="287C56BE"/>
    <w:rsid w:val="288527C5"/>
    <w:rsid w:val="289C366A"/>
    <w:rsid w:val="28AC46FE"/>
    <w:rsid w:val="28B3294F"/>
    <w:rsid w:val="28B5297E"/>
    <w:rsid w:val="28B77566"/>
    <w:rsid w:val="28CB3F50"/>
    <w:rsid w:val="28D64DCE"/>
    <w:rsid w:val="28F416F8"/>
    <w:rsid w:val="2900009D"/>
    <w:rsid w:val="29017971"/>
    <w:rsid w:val="291C4627"/>
    <w:rsid w:val="29341AF5"/>
    <w:rsid w:val="293B2E83"/>
    <w:rsid w:val="294066EC"/>
    <w:rsid w:val="294A756A"/>
    <w:rsid w:val="296636EE"/>
    <w:rsid w:val="29752839"/>
    <w:rsid w:val="298C36DF"/>
    <w:rsid w:val="298C7B83"/>
    <w:rsid w:val="29914387"/>
    <w:rsid w:val="29C00F9D"/>
    <w:rsid w:val="29C56BF1"/>
    <w:rsid w:val="29C94933"/>
    <w:rsid w:val="29CA404F"/>
    <w:rsid w:val="29CF181E"/>
    <w:rsid w:val="29D43001"/>
    <w:rsid w:val="29D46E34"/>
    <w:rsid w:val="29DB6414"/>
    <w:rsid w:val="29E11C7D"/>
    <w:rsid w:val="29E928DF"/>
    <w:rsid w:val="29F050DC"/>
    <w:rsid w:val="29F85218"/>
    <w:rsid w:val="2A0155AC"/>
    <w:rsid w:val="2A015B4F"/>
    <w:rsid w:val="2A037BCA"/>
    <w:rsid w:val="2A04596B"/>
    <w:rsid w:val="2A047719"/>
    <w:rsid w:val="2A181417"/>
    <w:rsid w:val="2A5266D7"/>
    <w:rsid w:val="2A570191"/>
    <w:rsid w:val="2A5C415F"/>
    <w:rsid w:val="2A653146"/>
    <w:rsid w:val="2A701253"/>
    <w:rsid w:val="2A7423DA"/>
    <w:rsid w:val="2A756869"/>
    <w:rsid w:val="2A781EB5"/>
    <w:rsid w:val="2A842608"/>
    <w:rsid w:val="2A936534"/>
    <w:rsid w:val="2AA1765E"/>
    <w:rsid w:val="2AB73A3B"/>
    <w:rsid w:val="2ABB4376"/>
    <w:rsid w:val="2AC05D36"/>
    <w:rsid w:val="2AC7148D"/>
    <w:rsid w:val="2AD27817"/>
    <w:rsid w:val="2ADB491E"/>
    <w:rsid w:val="2AE5754B"/>
    <w:rsid w:val="2AEF03C9"/>
    <w:rsid w:val="2AEF3F25"/>
    <w:rsid w:val="2B054B77"/>
    <w:rsid w:val="2B16710A"/>
    <w:rsid w:val="2B25203D"/>
    <w:rsid w:val="2B2A31B0"/>
    <w:rsid w:val="2B355DC8"/>
    <w:rsid w:val="2B3B35E2"/>
    <w:rsid w:val="2B3D6384"/>
    <w:rsid w:val="2B464ADA"/>
    <w:rsid w:val="2B5244B4"/>
    <w:rsid w:val="2B560448"/>
    <w:rsid w:val="2B5E72FD"/>
    <w:rsid w:val="2B732DA8"/>
    <w:rsid w:val="2B857535"/>
    <w:rsid w:val="2B881748"/>
    <w:rsid w:val="2B884198"/>
    <w:rsid w:val="2B981FCA"/>
    <w:rsid w:val="2BA50A88"/>
    <w:rsid w:val="2BAA609E"/>
    <w:rsid w:val="2BAE2033"/>
    <w:rsid w:val="2BAE3DE1"/>
    <w:rsid w:val="2BBD696D"/>
    <w:rsid w:val="2BCC7F0A"/>
    <w:rsid w:val="2BEE68D3"/>
    <w:rsid w:val="2C0E487F"/>
    <w:rsid w:val="2C106849"/>
    <w:rsid w:val="2C1C51EE"/>
    <w:rsid w:val="2C282B4F"/>
    <w:rsid w:val="2C2B5431"/>
    <w:rsid w:val="2C320CD8"/>
    <w:rsid w:val="2C365B84"/>
    <w:rsid w:val="2C43522D"/>
    <w:rsid w:val="2C5A1872"/>
    <w:rsid w:val="2C82701B"/>
    <w:rsid w:val="2C842D93"/>
    <w:rsid w:val="2C9A2B24"/>
    <w:rsid w:val="2CA13945"/>
    <w:rsid w:val="2CB05936"/>
    <w:rsid w:val="2CEB696E"/>
    <w:rsid w:val="2CED72D0"/>
    <w:rsid w:val="2CEE0760"/>
    <w:rsid w:val="2CEF3D77"/>
    <w:rsid w:val="2CF47F19"/>
    <w:rsid w:val="2D2074A7"/>
    <w:rsid w:val="2D2607CE"/>
    <w:rsid w:val="2D4542D1"/>
    <w:rsid w:val="2D4D6388"/>
    <w:rsid w:val="2D81607B"/>
    <w:rsid w:val="2D8D2243"/>
    <w:rsid w:val="2D8D3ECA"/>
    <w:rsid w:val="2D8D7A26"/>
    <w:rsid w:val="2D9214E0"/>
    <w:rsid w:val="2DA52579"/>
    <w:rsid w:val="2DCC2C44"/>
    <w:rsid w:val="2DCC67A0"/>
    <w:rsid w:val="2DD83397"/>
    <w:rsid w:val="2DE40228"/>
    <w:rsid w:val="2DE916B5"/>
    <w:rsid w:val="2DF950BB"/>
    <w:rsid w:val="2E09031D"/>
    <w:rsid w:val="2E0C4DEE"/>
    <w:rsid w:val="2E206AEC"/>
    <w:rsid w:val="2E535C18"/>
    <w:rsid w:val="2E557A46"/>
    <w:rsid w:val="2E840E29"/>
    <w:rsid w:val="2E933762"/>
    <w:rsid w:val="2E93526F"/>
    <w:rsid w:val="2E9A689E"/>
    <w:rsid w:val="2EAA1F00"/>
    <w:rsid w:val="2EBD433B"/>
    <w:rsid w:val="2EF51D26"/>
    <w:rsid w:val="2F120B2A"/>
    <w:rsid w:val="2F1308B0"/>
    <w:rsid w:val="2F261EE0"/>
    <w:rsid w:val="2F2B74F6"/>
    <w:rsid w:val="2F326AD7"/>
    <w:rsid w:val="2F3740ED"/>
    <w:rsid w:val="2F3C7955"/>
    <w:rsid w:val="2F527179"/>
    <w:rsid w:val="2F603644"/>
    <w:rsid w:val="2F792957"/>
    <w:rsid w:val="2F835584"/>
    <w:rsid w:val="2F860BD0"/>
    <w:rsid w:val="2F8D1F5F"/>
    <w:rsid w:val="2F9E23BE"/>
    <w:rsid w:val="2FB63264"/>
    <w:rsid w:val="2FD72DD7"/>
    <w:rsid w:val="2FE57AF8"/>
    <w:rsid w:val="2FE9188B"/>
    <w:rsid w:val="30112B90"/>
    <w:rsid w:val="301D5931"/>
    <w:rsid w:val="301F20D5"/>
    <w:rsid w:val="30201025"/>
    <w:rsid w:val="3034062C"/>
    <w:rsid w:val="303B5E5F"/>
    <w:rsid w:val="30436541"/>
    <w:rsid w:val="306C3492"/>
    <w:rsid w:val="30A734F4"/>
    <w:rsid w:val="30B71CF5"/>
    <w:rsid w:val="30C61B6F"/>
    <w:rsid w:val="30DF4A3C"/>
    <w:rsid w:val="30E3452C"/>
    <w:rsid w:val="30F73B34"/>
    <w:rsid w:val="310E0131"/>
    <w:rsid w:val="313703D4"/>
    <w:rsid w:val="3138414C"/>
    <w:rsid w:val="313F54DB"/>
    <w:rsid w:val="314B3E80"/>
    <w:rsid w:val="315C42DF"/>
    <w:rsid w:val="316513E5"/>
    <w:rsid w:val="318B24CE"/>
    <w:rsid w:val="318F528E"/>
    <w:rsid w:val="31B732C3"/>
    <w:rsid w:val="31BE4652"/>
    <w:rsid w:val="31FC1402"/>
    <w:rsid w:val="31FD7870"/>
    <w:rsid w:val="32087FC3"/>
    <w:rsid w:val="321D3A6E"/>
    <w:rsid w:val="321E77E6"/>
    <w:rsid w:val="3220355E"/>
    <w:rsid w:val="322546D1"/>
    <w:rsid w:val="322E7A29"/>
    <w:rsid w:val="32424739"/>
    <w:rsid w:val="32432DA9"/>
    <w:rsid w:val="324F174E"/>
    <w:rsid w:val="3260395B"/>
    <w:rsid w:val="32656230"/>
    <w:rsid w:val="32700042"/>
    <w:rsid w:val="32764F2C"/>
    <w:rsid w:val="327873C4"/>
    <w:rsid w:val="327A0EC0"/>
    <w:rsid w:val="329A38A8"/>
    <w:rsid w:val="32A61CB5"/>
    <w:rsid w:val="32A777DC"/>
    <w:rsid w:val="32AE5B00"/>
    <w:rsid w:val="32C20171"/>
    <w:rsid w:val="32CB5278"/>
    <w:rsid w:val="32CE6B16"/>
    <w:rsid w:val="32D64C31"/>
    <w:rsid w:val="32E62B0A"/>
    <w:rsid w:val="32E7407C"/>
    <w:rsid w:val="32E97DF4"/>
    <w:rsid w:val="32F522F5"/>
    <w:rsid w:val="32FC7B27"/>
    <w:rsid w:val="33047BC2"/>
    <w:rsid w:val="330F302C"/>
    <w:rsid w:val="33194E3D"/>
    <w:rsid w:val="331A61FF"/>
    <w:rsid w:val="33233306"/>
    <w:rsid w:val="332B21BB"/>
    <w:rsid w:val="333A23FE"/>
    <w:rsid w:val="33505FAA"/>
    <w:rsid w:val="335E433E"/>
    <w:rsid w:val="33753436"/>
    <w:rsid w:val="33A8380B"/>
    <w:rsid w:val="33CE5CC8"/>
    <w:rsid w:val="33D4015C"/>
    <w:rsid w:val="33FB393B"/>
    <w:rsid w:val="340824FC"/>
    <w:rsid w:val="340F388A"/>
    <w:rsid w:val="340F5638"/>
    <w:rsid w:val="342B1D46"/>
    <w:rsid w:val="342B5BC4"/>
    <w:rsid w:val="343E7CCC"/>
    <w:rsid w:val="34452E08"/>
    <w:rsid w:val="344E7789"/>
    <w:rsid w:val="344F152B"/>
    <w:rsid w:val="34586FDF"/>
    <w:rsid w:val="345968B4"/>
    <w:rsid w:val="34605E94"/>
    <w:rsid w:val="346C77BD"/>
    <w:rsid w:val="34845FC6"/>
    <w:rsid w:val="34A22009"/>
    <w:rsid w:val="34AD7C9C"/>
    <w:rsid w:val="34B306BA"/>
    <w:rsid w:val="34B51E8E"/>
    <w:rsid w:val="34B85CD0"/>
    <w:rsid w:val="34C603ED"/>
    <w:rsid w:val="34D50630"/>
    <w:rsid w:val="34DC226D"/>
    <w:rsid w:val="35352E7D"/>
    <w:rsid w:val="35531555"/>
    <w:rsid w:val="355359F9"/>
    <w:rsid w:val="35643762"/>
    <w:rsid w:val="35661288"/>
    <w:rsid w:val="357339A5"/>
    <w:rsid w:val="35760FBE"/>
    <w:rsid w:val="358D757A"/>
    <w:rsid w:val="35C078A0"/>
    <w:rsid w:val="35C13B4F"/>
    <w:rsid w:val="35C470E7"/>
    <w:rsid w:val="35CB1A33"/>
    <w:rsid w:val="35CD25D4"/>
    <w:rsid w:val="35D46B3A"/>
    <w:rsid w:val="35DB7EC8"/>
    <w:rsid w:val="35E548A3"/>
    <w:rsid w:val="35ED30A5"/>
    <w:rsid w:val="3628478F"/>
    <w:rsid w:val="3632218A"/>
    <w:rsid w:val="363E5FEF"/>
    <w:rsid w:val="364D41F6"/>
    <w:rsid w:val="365A5C1C"/>
    <w:rsid w:val="365B6913"/>
    <w:rsid w:val="365E4655"/>
    <w:rsid w:val="367125DA"/>
    <w:rsid w:val="367D0F7F"/>
    <w:rsid w:val="3687595A"/>
    <w:rsid w:val="368F0CB2"/>
    <w:rsid w:val="369266B5"/>
    <w:rsid w:val="369938DF"/>
    <w:rsid w:val="369E2CA4"/>
    <w:rsid w:val="36AA1648"/>
    <w:rsid w:val="36B712C5"/>
    <w:rsid w:val="36B81FB7"/>
    <w:rsid w:val="36CE2965"/>
    <w:rsid w:val="36DF7544"/>
    <w:rsid w:val="36F17277"/>
    <w:rsid w:val="36F31241"/>
    <w:rsid w:val="37164784"/>
    <w:rsid w:val="371F5B92"/>
    <w:rsid w:val="37217B5C"/>
    <w:rsid w:val="37227431"/>
    <w:rsid w:val="374675C3"/>
    <w:rsid w:val="374B1DAE"/>
    <w:rsid w:val="37501F07"/>
    <w:rsid w:val="375A4E1C"/>
    <w:rsid w:val="375F38C7"/>
    <w:rsid w:val="37607F59"/>
    <w:rsid w:val="376637C1"/>
    <w:rsid w:val="37734130"/>
    <w:rsid w:val="37753A04"/>
    <w:rsid w:val="377C4323"/>
    <w:rsid w:val="378E195C"/>
    <w:rsid w:val="37A662B4"/>
    <w:rsid w:val="37B37F19"/>
    <w:rsid w:val="37C8622A"/>
    <w:rsid w:val="37E015A8"/>
    <w:rsid w:val="37E64902"/>
    <w:rsid w:val="37FE7E9E"/>
    <w:rsid w:val="38303DCF"/>
    <w:rsid w:val="383513E6"/>
    <w:rsid w:val="38410B7F"/>
    <w:rsid w:val="38455ACD"/>
    <w:rsid w:val="38563836"/>
    <w:rsid w:val="3857135C"/>
    <w:rsid w:val="385C6972"/>
    <w:rsid w:val="386121DB"/>
    <w:rsid w:val="386817BB"/>
    <w:rsid w:val="387939C8"/>
    <w:rsid w:val="38797524"/>
    <w:rsid w:val="38802CBB"/>
    <w:rsid w:val="388D4D7E"/>
    <w:rsid w:val="38966328"/>
    <w:rsid w:val="389820A0"/>
    <w:rsid w:val="38B93DC5"/>
    <w:rsid w:val="38BD1B07"/>
    <w:rsid w:val="38BD5663"/>
    <w:rsid w:val="38C21505"/>
    <w:rsid w:val="38CC1D4A"/>
    <w:rsid w:val="38DE721F"/>
    <w:rsid w:val="38E52E0C"/>
    <w:rsid w:val="38EF77E6"/>
    <w:rsid w:val="38FD63A7"/>
    <w:rsid w:val="39077FEA"/>
    <w:rsid w:val="39094D4C"/>
    <w:rsid w:val="39184F8F"/>
    <w:rsid w:val="39263BD5"/>
    <w:rsid w:val="392F4087"/>
    <w:rsid w:val="393671C3"/>
    <w:rsid w:val="393B142C"/>
    <w:rsid w:val="393F251C"/>
    <w:rsid w:val="394713D0"/>
    <w:rsid w:val="394E09B1"/>
    <w:rsid w:val="39513FFD"/>
    <w:rsid w:val="39542A0A"/>
    <w:rsid w:val="395802BC"/>
    <w:rsid w:val="395A294D"/>
    <w:rsid w:val="396C0E37"/>
    <w:rsid w:val="3991089E"/>
    <w:rsid w:val="399A4617"/>
    <w:rsid w:val="399D7242"/>
    <w:rsid w:val="39A14F85"/>
    <w:rsid w:val="39AC56D7"/>
    <w:rsid w:val="39BC591B"/>
    <w:rsid w:val="39DA2245"/>
    <w:rsid w:val="39E15381"/>
    <w:rsid w:val="39E8747A"/>
    <w:rsid w:val="39E906DA"/>
    <w:rsid w:val="39F50E2C"/>
    <w:rsid w:val="39F71049"/>
    <w:rsid w:val="39F74BA5"/>
    <w:rsid w:val="3A233BEC"/>
    <w:rsid w:val="3A2D4A6A"/>
    <w:rsid w:val="3A395226"/>
    <w:rsid w:val="3A3D1F6C"/>
    <w:rsid w:val="3A4818A4"/>
    <w:rsid w:val="3A4B3142"/>
    <w:rsid w:val="3A563FC1"/>
    <w:rsid w:val="3A575643"/>
    <w:rsid w:val="3A666D2F"/>
    <w:rsid w:val="3A836438"/>
    <w:rsid w:val="3A8C15AB"/>
    <w:rsid w:val="3AAA1C17"/>
    <w:rsid w:val="3AB94550"/>
    <w:rsid w:val="3ABD5DEE"/>
    <w:rsid w:val="3ABE3914"/>
    <w:rsid w:val="3AC802EF"/>
    <w:rsid w:val="3AD1189A"/>
    <w:rsid w:val="3AE710BD"/>
    <w:rsid w:val="3AE96BE3"/>
    <w:rsid w:val="3AF83CC7"/>
    <w:rsid w:val="3AF86E26"/>
    <w:rsid w:val="3B075DBD"/>
    <w:rsid w:val="3B163750"/>
    <w:rsid w:val="3B3911ED"/>
    <w:rsid w:val="3B3E3C29"/>
    <w:rsid w:val="3B457B92"/>
    <w:rsid w:val="3B4F27BE"/>
    <w:rsid w:val="3B53405D"/>
    <w:rsid w:val="3B580D41"/>
    <w:rsid w:val="3B710987"/>
    <w:rsid w:val="3B732951"/>
    <w:rsid w:val="3B7641EF"/>
    <w:rsid w:val="3BB152DE"/>
    <w:rsid w:val="3BB50BDF"/>
    <w:rsid w:val="3BB66A93"/>
    <w:rsid w:val="3BBF5B96"/>
    <w:rsid w:val="3BCB0097"/>
    <w:rsid w:val="3BD339B1"/>
    <w:rsid w:val="3BE64ED1"/>
    <w:rsid w:val="3C025A83"/>
    <w:rsid w:val="3C0B6681"/>
    <w:rsid w:val="3C1C08F2"/>
    <w:rsid w:val="3C237ED3"/>
    <w:rsid w:val="3C2974B3"/>
    <w:rsid w:val="3C2E0626"/>
    <w:rsid w:val="3C4D13F4"/>
    <w:rsid w:val="3C5A58BF"/>
    <w:rsid w:val="3C6F136A"/>
    <w:rsid w:val="3C897F4A"/>
    <w:rsid w:val="3CA349C6"/>
    <w:rsid w:val="3CB753F4"/>
    <w:rsid w:val="3CC176EC"/>
    <w:rsid w:val="3CCA47F2"/>
    <w:rsid w:val="3CD1792F"/>
    <w:rsid w:val="3CDE3DFA"/>
    <w:rsid w:val="3CE533DA"/>
    <w:rsid w:val="3CE55188"/>
    <w:rsid w:val="3CEA241E"/>
    <w:rsid w:val="3CF4186F"/>
    <w:rsid w:val="3CF90C34"/>
    <w:rsid w:val="3D0777F5"/>
    <w:rsid w:val="3D08071D"/>
    <w:rsid w:val="3D151117"/>
    <w:rsid w:val="3D177EBA"/>
    <w:rsid w:val="3D2F0AF9"/>
    <w:rsid w:val="3D3D3216"/>
    <w:rsid w:val="3D426F69"/>
    <w:rsid w:val="3D475E43"/>
    <w:rsid w:val="3D532A3A"/>
    <w:rsid w:val="3D582706"/>
    <w:rsid w:val="3D673DEF"/>
    <w:rsid w:val="3D68590D"/>
    <w:rsid w:val="3D70539A"/>
    <w:rsid w:val="3D7529B0"/>
    <w:rsid w:val="3D785FFC"/>
    <w:rsid w:val="3D7A6218"/>
    <w:rsid w:val="3D8F3346"/>
    <w:rsid w:val="3D913562"/>
    <w:rsid w:val="3D9B1CEB"/>
    <w:rsid w:val="3DBB238D"/>
    <w:rsid w:val="3DBD4357"/>
    <w:rsid w:val="3DBE13C7"/>
    <w:rsid w:val="3DC01751"/>
    <w:rsid w:val="3DC72AE0"/>
    <w:rsid w:val="3DC85816"/>
    <w:rsid w:val="3E09759C"/>
    <w:rsid w:val="3E133F77"/>
    <w:rsid w:val="3E135D25"/>
    <w:rsid w:val="3E237D96"/>
    <w:rsid w:val="3E32588A"/>
    <w:rsid w:val="3E595E2E"/>
    <w:rsid w:val="3E6B3DB3"/>
    <w:rsid w:val="3E6F4B6A"/>
    <w:rsid w:val="3E8264FA"/>
    <w:rsid w:val="3E952BDE"/>
    <w:rsid w:val="3E990920"/>
    <w:rsid w:val="3EA03A5D"/>
    <w:rsid w:val="3ECD6842"/>
    <w:rsid w:val="3ED153FD"/>
    <w:rsid w:val="3ED43706"/>
    <w:rsid w:val="3EE33949"/>
    <w:rsid w:val="3EEF22EE"/>
    <w:rsid w:val="3EF43DA9"/>
    <w:rsid w:val="3EF80707"/>
    <w:rsid w:val="3EFC1D95"/>
    <w:rsid w:val="3F051C53"/>
    <w:rsid w:val="3F141D55"/>
    <w:rsid w:val="3F1B5511"/>
    <w:rsid w:val="3F275F2C"/>
    <w:rsid w:val="3F342D57"/>
    <w:rsid w:val="3F414C6D"/>
    <w:rsid w:val="3F6A406B"/>
    <w:rsid w:val="3F7171A7"/>
    <w:rsid w:val="3F8213B4"/>
    <w:rsid w:val="3F984734"/>
    <w:rsid w:val="3FA96941"/>
    <w:rsid w:val="3FB157F6"/>
    <w:rsid w:val="3FB60937"/>
    <w:rsid w:val="3FBA0B4E"/>
    <w:rsid w:val="3FD00372"/>
    <w:rsid w:val="3FD87263"/>
    <w:rsid w:val="3FE1257F"/>
    <w:rsid w:val="3FE21E53"/>
    <w:rsid w:val="3FE61943"/>
    <w:rsid w:val="3FEA0D08"/>
    <w:rsid w:val="3FFD6634"/>
    <w:rsid w:val="40026051"/>
    <w:rsid w:val="40155D85"/>
    <w:rsid w:val="40330901"/>
    <w:rsid w:val="403501D5"/>
    <w:rsid w:val="40490124"/>
    <w:rsid w:val="40583EC3"/>
    <w:rsid w:val="405A7C3B"/>
    <w:rsid w:val="40637DF2"/>
    <w:rsid w:val="40640ABA"/>
    <w:rsid w:val="406D5BC1"/>
    <w:rsid w:val="407E0B84"/>
    <w:rsid w:val="408178BE"/>
    <w:rsid w:val="408B4299"/>
    <w:rsid w:val="408D1DBF"/>
    <w:rsid w:val="409A573E"/>
    <w:rsid w:val="40D43E92"/>
    <w:rsid w:val="40D95004"/>
    <w:rsid w:val="40E65973"/>
    <w:rsid w:val="41016309"/>
    <w:rsid w:val="4102568C"/>
    <w:rsid w:val="41166258"/>
    <w:rsid w:val="411B1BBA"/>
    <w:rsid w:val="411E335F"/>
    <w:rsid w:val="41263FC1"/>
    <w:rsid w:val="412A1038"/>
    <w:rsid w:val="412A3AB2"/>
    <w:rsid w:val="41314E40"/>
    <w:rsid w:val="41393CF5"/>
    <w:rsid w:val="414D154E"/>
    <w:rsid w:val="414F7058"/>
    <w:rsid w:val="416A2100"/>
    <w:rsid w:val="4171348E"/>
    <w:rsid w:val="417B60BB"/>
    <w:rsid w:val="4182744A"/>
    <w:rsid w:val="41831414"/>
    <w:rsid w:val="418E60D6"/>
    <w:rsid w:val="41A575DC"/>
    <w:rsid w:val="41C932CA"/>
    <w:rsid w:val="41CA2B9F"/>
    <w:rsid w:val="41DA7286"/>
    <w:rsid w:val="41EA1493"/>
    <w:rsid w:val="41EE0F83"/>
    <w:rsid w:val="41FD11C6"/>
    <w:rsid w:val="421A3B26"/>
    <w:rsid w:val="422449A5"/>
    <w:rsid w:val="42380450"/>
    <w:rsid w:val="423A5F76"/>
    <w:rsid w:val="423D20DC"/>
    <w:rsid w:val="423F17DF"/>
    <w:rsid w:val="42402E61"/>
    <w:rsid w:val="424770DF"/>
    <w:rsid w:val="4256621B"/>
    <w:rsid w:val="426038B4"/>
    <w:rsid w:val="42740840"/>
    <w:rsid w:val="42976F25"/>
    <w:rsid w:val="42BE1F8D"/>
    <w:rsid w:val="42C13FA2"/>
    <w:rsid w:val="42C32FBC"/>
    <w:rsid w:val="42C85330"/>
    <w:rsid w:val="42F17A98"/>
    <w:rsid w:val="42F223AD"/>
    <w:rsid w:val="43030A5E"/>
    <w:rsid w:val="431C38CE"/>
    <w:rsid w:val="431F6F1A"/>
    <w:rsid w:val="43244531"/>
    <w:rsid w:val="433724B6"/>
    <w:rsid w:val="43397FDC"/>
    <w:rsid w:val="433C3841"/>
    <w:rsid w:val="43456981"/>
    <w:rsid w:val="434846C3"/>
    <w:rsid w:val="435B2648"/>
    <w:rsid w:val="436F5A43"/>
    <w:rsid w:val="43761230"/>
    <w:rsid w:val="43935EDA"/>
    <w:rsid w:val="439D67BD"/>
    <w:rsid w:val="43A51B15"/>
    <w:rsid w:val="43A538C3"/>
    <w:rsid w:val="43A833B4"/>
    <w:rsid w:val="43C57AC2"/>
    <w:rsid w:val="43C7383A"/>
    <w:rsid w:val="43D23F8D"/>
    <w:rsid w:val="43D9531B"/>
    <w:rsid w:val="43E066A9"/>
    <w:rsid w:val="43EF4B3E"/>
    <w:rsid w:val="43F87E97"/>
    <w:rsid w:val="43FF5AAD"/>
    <w:rsid w:val="441B2F72"/>
    <w:rsid w:val="441F5424"/>
    <w:rsid w:val="44242A3A"/>
    <w:rsid w:val="443941AE"/>
    <w:rsid w:val="443F5AC6"/>
    <w:rsid w:val="44435383"/>
    <w:rsid w:val="444917AD"/>
    <w:rsid w:val="444C3D3F"/>
    <w:rsid w:val="444E3F5B"/>
    <w:rsid w:val="44500214"/>
    <w:rsid w:val="44625310"/>
    <w:rsid w:val="446612A5"/>
    <w:rsid w:val="44901E7E"/>
    <w:rsid w:val="44A122DD"/>
    <w:rsid w:val="44A818BD"/>
    <w:rsid w:val="44AE0556"/>
    <w:rsid w:val="44C24001"/>
    <w:rsid w:val="44CB735A"/>
    <w:rsid w:val="44D96770"/>
    <w:rsid w:val="44FA19ED"/>
    <w:rsid w:val="450B59A8"/>
    <w:rsid w:val="45120AE5"/>
    <w:rsid w:val="451362E6"/>
    <w:rsid w:val="45143E46"/>
    <w:rsid w:val="452151CC"/>
    <w:rsid w:val="45352EDB"/>
    <w:rsid w:val="453C2419"/>
    <w:rsid w:val="453F5652"/>
    <w:rsid w:val="454669E0"/>
    <w:rsid w:val="455C4456"/>
    <w:rsid w:val="45613E60"/>
    <w:rsid w:val="45692C29"/>
    <w:rsid w:val="45710B87"/>
    <w:rsid w:val="45717F01"/>
    <w:rsid w:val="4582210E"/>
    <w:rsid w:val="45B46040"/>
    <w:rsid w:val="45C31B0F"/>
    <w:rsid w:val="45C9758C"/>
    <w:rsid w:val="45D73ADC"/>
    <w:rsid w:val="45E306D3"/>
    <w:rsid w:val="45EC3A2B"/>
    <w:rsid w:val="45ED3300"/>
    <w:rsid w:val="45F823D0"/>
    <w:rsid w:val="4607616F"/>
    <w:rsid w:val="460C19D8"/>
    <w:rsid w:val="46114536"/>
    <w:rsid w:val="46130FB8"/>
    <w:rsid w:val="46284338"/>
    <w:rsid w:val="462F3AFD"/>
    <w:rsid w:val="46454EEA"/>
    <w:rsid w:val="46671304"/>
    <w:rsid w:val="466B0DF4"/>
    <w:rsid w:val="46827EEC"/>
    <w:rsid w:val="468C6E72"/>
    <w:rsid w:val="46901D17"/>
    <w:rsid w:val="469572D0"/>
    <w:rsid w:val="4698770F"/>
    <w:rsid w:val="46A2071E"/>
    <w:rsid w:val="46AC31BB"/>
    <w:rsid w:val="46CE1383"/>
    <w:rsid w:val="46DC584E"/>
    <w:rsid w:val="46DD3374"/>
    <w:rsid w:val="46EA1E1F"/>
    <w:rsid w:val="46FF153C"/>
    <w:rsid w:val="470923BB"/>
    <w:rsid w:val="470B291D"/>
    <w:rsid w:val="472461ED"/>
    <w:rsid w:val="472E3BD0"/>
    <w:rsid w:val="474156B1"/>
    <w:rsid w:val="474B63D2"/>
    <w:rsid w:val="475A6773"/>
    <w:rsid w:val="476D33C7"/>
    <w:rsid w:val="47737835"/>
    <w:rsid w:val="47745A86"/>
    <w:rsid w:val="477F61D9"/>
    <w:rsid w:val="47AF2F63"/>
    <w:rsid w:val="47C6205A"/>
    <w:rsid w:val="47D13DD9"/>
    <w:rsid w:val="47EA3C1B"/>
    <w:rsid w:val="47F24BFD"/>
    <w:rsid w:val="48074B4D"/>
    <w:rsid w:val="48142DC6"/>
    <w:rsid w:val="4823125B"/>
    <w:rsid w:val="48297DAD"/>
    <w:rsid w:val="48360F8E"/>
    <w:rsid w:val="484722C7"/>
    <w:rsid w:val="485633DE"/>
    <w:rsid w:val="485C07B5"/>
    <w:rsid w:val="4867383D"/>
    <w:rsid w:val="48802209"/>
    <w:rsid w:val="488241D3"/>
    <w:rsid w:val="48943F06"/>
    <w:rsid w:val="48A320CB"/>
    <w:rsid w:val="48A44FBB"/>
    <w:rsid w:val="48A57EC2"/>
    <w:rsid w:val="48AB2081"/>
    <w:rsid w:val="48AD4201"/>
    <w:rsid w:val="48DC7D87"/>
    <w:rsid w:val="48DD6013"/>
    <w:rsid w:val="48E1555D"/>
    <w:rsid w:val="48E56510"/>
    <w:rsid w:val="48EC789E"/>
    <w:rsid w:val="49006068"/>
    <w:rsid w:val="49060960"/>
    <w:rsid w:val="491164F6"/>
    <w:rsid w:val="491237A9"/>
    <w:rsid w:val="4916491B"/>
    <w:rsid w:val="49180694"/>
    <w:rsid w:val="491F22FE"/>
    <w:rsid w:val="49262DB0"/>
    <w:rsid w:val="49361832"/>
    <w:rsid w:val="49364C32"/>
    <w:rsid w:val="49465201"/>
    <w:rsid w:val="495056CF"/>
    <w:rsid w:val="49553696"/>
    <w:rsid w:val="49584F34"/>
    <w:rsid w:val="49663AF5"/>
    <w:rsid w:val="4968582B"/>
    <w:rsid w:val="49726F4F"/>
    <w:rsid w:val="49A32653"/>
    <w:rsid w:val="49C425C9"/>
    <w:rsid w:val="49CF51F6"/>
    <w:rsid w:val="49DA5835"/>
    <w:rsid w:val="49DF50EC"/>
    <w:rsid w:val="49E36EF3"/>
    <w:rsid w:val="49F17862"/>
    <w:rsid w:val="49F27137"/>
    <w:rsid w:val="49F70E14"/>
    <w:rsid w:val="49FF3D48"/>
    <w:rsid w:val="4A062D9F"/>
    <w:rsid w:val="4A0B1FA6"/>
    <w:rsid w:val="4A167389"/>
    <w:rsid w:val="4A192915"/>
    <w:rsid w:val="4A301A0D"/>
    <w:rsid w:val="4A3459A1"/>
    <w:rsid w:val="4A476DC7"/>
    <w:rsid w:val="4A484FA8"/>
    <w:rsid w:val="4A4D0811"/>
    <w:rsid w:val="4A540C8D"/>
    <w:rsid w:val="4A631DE2"/>
    <w:rsid w:val="4A660E42"/>
    <w:rsid w:val="4A6B5297"/>
    <w:rsid w:val="4A716BE8"/>
    <w:rsid w:val="4A722025"/>
    <w:rsid w:val="4A802994"/>
    <w:rsid w:val="4A8F4985"/>
    <w:rsid w:val="4A9C5CE0"/>
    <w:rsid w:val="4AA36F95"/>
    <w:rsid w:val="4AA47C01"/>
    <w:rsid w:val="4AAA17BF"/>
    <w:rsid w:val="4AAD2B10"/>
    <w:rsid w:val="4ACB6D0D"/>
    <w:rsid w:val="4ACF1226"/>
    <w:rsid w:val="4AD93E52"/>
    <w:rsid w:val="4ADB5E1D"/>
    <w:rsid w:val="4ADE5A6C"/>
    <w:rsid w:val="4AEB5EFC"/>
    <w:rsid w:val="4AF9524B"/>
    <w:rsid w:val="4B054C48"/>
    <w:rsid w:val="4B2D166C"/>
    <w:rsid w:val="4B2E5601"/>
    <w:rsid w:val="4B3774F7"/>
    <w:rsid w:val="4B3A2B43"/>
    <w:rsid w:val="4B3A6FE7"/>
    <w:rsid w:val="4B3C744E"/>
    <w:rsid w:val="4B4654C8"/>
    <w:rsid w:val="4B63653E"/>
    <w:rsid w:val="4B647BC0"/>
    <w:rsid w:val="4B7B4994"/>
    <w:rsid w:val="4B885FA4"/>
    <w:rsid w:val="4B906C07"/>
    <w:rsid w:val="4B9761E7"/>
    <w:rsid w:val="4BA40904"/>
    <w:rsid w:val="4BB165A6"/>
    <w:rsid w:val="4BF6257B"/>
    <w:rsid w:val="4C0A0767"/>
    <w:rsid w:val="4C0D4086"/>
    <w:rsid w:val="4C286E40"/>
    <w:rsid w:val="4C341C88"/>
    <w:rsid w:val="4C373527"/>
    <w:rsid w:val="4C592FD1"/>
    <w:rsid w:val="4C660E04"/>
    <w:rsid w:val="4C707740"/>
    <w:rsid w:val="4C76404F"/>
    <w:rsid w:val="4C7958ED"/>
    <w:rsid w:val="4C7E1155"/>
    <w:rsid w:val="4C8D3147"/>
    <w:rsid w:val="4C942727"/>
    <w:rsid w:val="4C975D73"/>
    <w:rsid w:val="4C9901C9"/>
    <w:rsid w:val="4C9B473E"/>
    <w:rsid w:val="4C9F3127"/>
    <w:rsid w:val="4CA74208"/>
    <w:rsid w:val="4CB701C3"/>
    <w:rsid w:val="4CB91E5E"/>
    <w:rsid w:val="4CD80866"/>
    <w:rsid w:val="4CDE39A2"/>
    <w:rsid w:val="4CE465E2"/>
    <w:rsid w:val="4CF84A64"/>
    <w:rsid w:val="4CFF2296"/>
    <w:rsid w:val="4D0258E3"/>
    <w:rsid w:val="4D04165B"/>
    <w:rsid w:val="4D0E76F1"/>
    <w:rsid w:val="4D166283"/>
    <w:rsid w:val="4D1D271C"/>
    <w:rsid w:val="4D2155FC"/>
    <w:rsid w:val="4D3C7046"/>
    <w:rsid w:val="4D5D4CA6"/>
    <w:rsid w:val="4D6E63E7"/>
    <w:rsid w:val="4D7A7B6F"/>
    <w:rsid w:val="4D8C1650"/>
    <w:rsid w:val="4D93478D"/>
    <w:rsid w:val="4D9901E2"/>
    <w:rsid w:val="4DA05A2E"/>
    <w:rsid w:val="4DA4699A"/>
    <w:rsid w:val="4DA70238"/>
    <w:rsid w:val="4DA91FD9"/>
    <w:rsid w:val="4DB766CD"/>
    <w:rsid w:val="4DB82445"/>
    <w:rsid w:val="4DDA060D"/>
    <w:rsid w:val="4DED20EF"/>
    <w:rsid w:val="4E06594B"/>
    <w:rsid w:val="4E0D09E3"/>
    <w:rsid w:val="4E132C48"/>
    <w:rsid w:val="4E1B3100"/>
    <w:rsid w:val="4E3441C2"/>
    <w:rsid w:val="4E4D7031"/>
    <w:rsid w:val="4E5C7274"/>
    <w:rsid w:val="4E6017A0"/>
    <w:rsid w:val="4E640BBD"/>
    <w:rsid w:val="4E6600F3"/>
    <w:rsid w:val="4E712D20"/>
    <w:rsid w:val="4E824F2D"/>
    <w:rsid w:val="4E834801"/>
    <w:rsid w:val="4E881E17"/>
    <w:rsid w:val="4E911651"/>
    <w:rsid w:val="4E9160C5"/>
    <w:rsid w:val="4EB86BA1"/>
    <w:rsid w:val="4EB96475"/>
    <w:rsid w:val="4ECC445F"/>
    <w:rsid w:val="4ED137BE"/>
    <w:rsid w:val="4ED56CDE"/>
    <w:rsid w:val="4ED867FE"/>
    <w:rsid w:val="4EDB4112"/>
    <w:rsid w:val="4EEC22DC"/>
    <w:rsid w:val="4EF37BD9"/>
    <w:rsid w:val="4F0F345F"/>
    <w:rsid w:val="4F2D3F10"/>
    <w:rsid w:val="4F3501F1"/>
    <w:rsid w:val="4F4C553B"/>
    <w:rsid w:val="4F4D3F96"/>
    <w:rsid w:val="4F4D7E0C"/>
    <w:rsid w:val="4F7A20A8"/>
    <w:rsid w:val="4F8D7D4D"/>
    <w:rsid w:val="4F8E16AF"/>
    <w:rsid w:val="4F980780"/>
    <w:rsid w:val="4F98252E"/>
    <w:rsid w:val="4FB54225"/>
    <w:rsid w:val="4FB56C3C"/>
    <w:rsid w:val="4FBF7ABB"/>
    <w:rsid w:val="4FC7696F"/>
    <w:rsid w:val="4FC82E13"/>
    <w:rsid w:val="4FE15C83"/>
    <w:rsid w:val="501A73E7"/>
    <w:rsid w:val="505A3568"/>
    <w:rsid w:val="505E5526"/>
    <w:rsid w:val="505F4DFA"/>
    <w:rsid w:val="50630D8E"/>
    <w:rsid w:val="50770396"/>
    <w:rsid w:val="5082140F"/>
    <w:rsid w:val="50864E6D"/>
    <w:rsid w:val="508F1B83"/>
    <w:rsid w:val="509947B0"/>
    <w:rsid w:val="50A8146E"/>
    <w:rsid w:val="50AD025B"/>
    <w:rsid w:val="50B11AF9"/>
    <w:rsid w:val="50B61CAB"/>
    <w:rsid w:val="50C45A60"/>
    <w:rsid w:val="50CF3D2E"/>
    <w:rsid w:val="50D457E8"/>
    <w:rsid w:val="50EC48E0"/>
    <w:rsid w:val="5100038B"/>
    <w:rsid w:val="51024103"/>
    <w:rsid w:val="51206532"/>
    <w:rsid w:val="51275918"/>
    <w:rsid w:val="51387B25"/>
    <w:rsid w:val="5144471C"/>
    <w:rsid w:val="514D36CD"/>
    <w:rsid w:val="515406D7"/>
    <w:rsid w:val="51542485"/>
    <w:rsid w:val="51595CED"/>
    <w:rsid w:val="51714DE5"/>
    <w:rsid w:val="51782617"/>
    <w:rsid w:val="51791EEB"/>
    <w:rsid w:val="517A013D"/>
    <w:rsid w:val="517E056E"/>
    <w:rsid w:val="5181771E"/>
    <w:rsid w:val="51823496"/>
    <w:rsid w:val="51842D6A"/>
    <w:rsid w:val="51870AAC"/>
    <w:rsid w:val="51890380"/>
    <w:rsid w:val="51C404BD"/>
    <w:rsid w:val="51C8534D"/>
    <w:rsid w:val="51DD247A"/>
    <w:rsid w:val="51E23F34"/>
    <w:rsid w:val="51F53C68"/>
    <w:rsid w:val="51F779E0"/>
    <w:rsid w:val="51FF0A8E"/>
    <w:rsid w:val="520F6047"/>
    <w:rsid w:val="521A547C"/>
    <w:rsid w:val="52216249"/>
    <w:rsid w:val="52583F3C"/>
    <w:rsid w:val="525F7457"/>
    <w:rsid w:val="52662470"/>
    <w:rsid w:val="526F57C8"/>
    <w:rsid w:val="527D49CA"/>
    <w:rsid w:val="52937BA7"/>
    <w:rsid w:val="529E42FF"/>
    <w:rsid w:val="52A64F62"/>
    <w:rsid w:val="52BE405A"/>
    <w:rsid w:val="52CA29FF"/>
    <w:rsid w:val="52CD0741"/>
    <w:rsid w:val="52F7756C"/>
    <w:rsid w:val="530C505E"/>
    <w:rsid w:val="530F48B5"/>
    <w:rsid w:val="531A435A"/>
    <w:rsid w:val="53202F66"/>
    <w:rsid w:val="53226CDE"/>
    <w:rsid w:val="53232554"/>
    <w:rsid w:val="53346A12"/>
    <w:rsid w:val="53395DD6"/>
    <w:rsid w:val="5358625C"/>
    <w:rsid w:val="537A2677"/>
    <w:rsid w:val="53852DC9"/>
    <w:rsid w:val="5394125E"/>
    <w:rsid w:val="539D0113"/>
    <w:rsid w:val="53AF7E46"/>
    <w:rsid w:val="53BD18B7"/>
    <w:rsid w:val="53C02053"/>
    <w:rsid w:val="53D61877"/>
    <w:rsid w:val="53E06252"/>
    <w:rsid w:val="53E2021C"/>
    <w:rsid w:val="53E21FCA"/>
    <w:rsid w:val="54166797"/>
    <w:rsid w:val="542645AC"/>
    <w:rsid w:val="54300F87"/>
    <w:rsid w:val="543A3BB4"/>
    <w:rsid w:val="543D5452"/>
    <w:rsid w:val="544430C7"/>
    <w:rsid w:val="54473D53"/>
    <w:rsid w:val="5454111A"/>
    <w:rsid w:val="54641DA5"/>
    <w:rsid w:val="54680E04"/>
    <w:rsid w:val="546E5B71"/>
    <w:rsid w:val="547E6196"/>
    <w:rsid w:val="548337AD"/>
    <w:rsid w:val="5495528E"/>
    <w:rsid w:val="549C03CB"/>
    <w:rsid w:val="54AF6350"/>
    <w:rsid w:val="54BA6AA3"/>
    <w:rsid w:val="54C85664"/>
    <w:rsid w:val="54D12148"/>
    <w:rsid w:val="54D6549C"/>
    <w:rsid w:val="54EF1E5C"/>
    <w:rsid w:val="54F226E1"/>
    <w:rsid w:val="54F31FD7"/>
    <w:rsid w:val="54F61F69"/>
    <w:rsid w:val="550F3292"/>
    <w:rsid w:val="551B1C37"/>
    <w:rsid w:val="551F594D"/>
    <w:rsid w:val="55216B22"/>
    <w:rsid w:val="55254864"/>
    <w:rsid w:val="552A59D6"/>
    <w:rsid w:val="552D79CE"/>
    <w:rsid w:val="5539106E"/>
    <w:rsid w:val="554051FA"/>
    <w:rsid w:val="554C3B9F"/>
    <w:rsid w:val="556709D9"/>
    <w:rsid w:val="556F505E"/>
    <w:rsid w:val="55894DF3"/>
    <w:rsid w:val="558A0B6B"/>
    <w:rsid w:val="55990DAE"/>
    <w:rsid w:val="55B655CD"/>
    <w:rsid w:val="55BF6A67"/>
    <w:rsid w:val="55C93D9E"/>
    <w:rsid w:val="55D123D3"/>
    <w:rsid w:val="55E24503"/>
    <w:rsid w:val="55EB160A"/>
    <w:rsid w:val="55F83D27"/>
    <w:rsid w:val="560E52F8"/>
    <w:rsid w:val="56262642"/>
    <w:rsid w:val="5627460C"/>
    <w:rsid w:val="56306CE0"/>
    <w:rsid w:val="5637484F"/>
    <w:rsid w:val="563C00B7"/>
    <w:rsid w:val="564231F4"/>
    <w:rsid w:val="564C5E20"/>
    <w:rsid w:val="56586573"/>
    <w:rsid w:val="565F416C"/>
    <w:rsid w:val="567809C3"/>
    <w:rsid w:val="568871E9"/>
    <w:rsid w:val="569F5B64"/>
    <w:rsid w:val="56A12D20"/>
    <w:rsid w:val="56B063AF"/>
    <w:rsid w:val="56C01843"/>
    <w:rsid w:val="56C360E3"/>
    <w:rsid w:val="56CD0D0F"/>
    <w:rsid w:val="56D46542"/>
    <w:rsid w:val="56D55E16"/>
    <w:rsid w:val="56D81CDE"/>
    <w:rsid w:val="56E16569"/>
    <w:rsid w:val="56F34CC3"/>
    <w:rsid w:val="56F95FA8"/>
    <w:rsid w:val="56FA762A"/>
    <w:rsid w:val="56FB3ACE"/>
    <w:rsid w:val="57016C0B"/>
    <w:rsid w:val="570D55B0"/>
    <w:rsid w:val="571050A0"/>
    <w:rsid w:val="57180DC2"/>
    <w:rsid w:val="57203535"/>
    <w:rsid w:val="57236B81"/>
    <w:rsid w:val="574C4008"/>
    <w:rsid w:val="574F17E3"/>
    <w:rsid w:val="57723665"/>
    <w:rsid w:val="57727B09"/>
    <w:rsid w:val="577E46FF"/>
    <w:rsid w:val="57803FD4"/>
    <w:rsid w:val="579161E1"/>
    <w:rsid w:val="579E08FE"/>
    <w:rsid w:val="57A8352A"/>
    <w:rsid w:val="57AA1051"/>
    <w:rsid w:val="57B40F96"/>
    <w:rsid w:val="57B63E99"/>
    <w:rsid w:val="57B91294"/>
    <w:rsid w:val="57C35262"/>
    <w:rsid w:val="57C35B91"/>
    <w:rsid w:val="57D165DD"/>
    <w:rsid w:val="57F60AB9"/>
    <w:rsid w:val="57FB7AFE"/>
    <w:rsid w:val="581B0163"/>
    <w:rsid w:val="581B1F4E"/>
    <w:rsid w:val="581E041C"/>
    <w:rsid w:val="5827444F"/>
    <w:rsid w:val="58302F8F"/>
    <w:rsid w:val="58346927"/>
    <w:rsid w:val="58353010"/>
    <w:rsid w:val="58397B86"/>
    <w:rsid w:val="584D3D67"/>
    <w:rsid w:val="58523BC2"/>
    <w:rsid w:val="585C67EF"/>
    <w:rsid w:val="586E207E"/>
    <w:rsid w:val="587F6039"/>
    <w:rsid w:val="58801DB1"/>
    <w:rsid w:val="58816255"/>
    <w:rsid w:val="58873140"/>
    <w:rsid w:val="5893000F"/>
    <w:rsid w:val="5898359F"/>
    <w:rsid w:val="589C189B"/>
    <w:rsid w:val="58B45949"/>
    <w:rsid w:val="58BE1257"/>
    <w:rsid w:val="58C163D9"/>
    <w:rsid w:val="58CB5722"/>
    <w:rsid w:val="58D345D7"/>
    <w:rsid w:val="58D70555"/>
    <w:rsid w:val="58F24A5D"/>
    <w:rsid w:val="590824D3"/>
    <w:rsid w:val="590B6EDE"/>
    <w:rsid w:val="59260BAB"/>
    <w:rsid w:val="59374B66"/>
    <w:rsid w:val="593B4656"/>
    <w:rsid w:val="594A6647"/>
    <w:rsid w:val="594E0122"/>
    <w:rsid w:val="59513E7A"/>
    <w:rsid w:val="5952374E"/>
    <w:rsid w:val="59527BF2"/>
    <w:rsid w:val="59570D64"/>
    <w:rsid w:val="59577BD8"/>
    <w:rsid w:val="596040BD"/>
    <w:rsid w:val="596545F4"/>
    <w:rsid w:val="59724288"/>
    <w:rsid w:val="598853C1"/>
    <w:rsid w:val="599C2C1B"/>
    <w:rsid w:val="59A0095D"/>
    <w:rsid w:val="59AA17DC"/>
    <w:rsid w:val="59B461B6"/>
    <w:rsid w:val="59D32AE1"/>
    <w:rsid w:val="59E44CEE"/>
    <w:rsid w:val="59F12F67"/>
    <w:rsid w:val="5A086CA5"/>
    <w:rsid w:val="5A0F7891"/>
    <w:rsid w:val="5A203D5A"/>
    <w:rsid w:val="5A225816"/>
    <w:rsid w:val="5A2A0227"/>
    <w:rsid w:val="5A4A2677"/>
    <w:rsid w:val="5A532C1D"/>
    <w:rsid w:val="5A5C2A8B"/>
    <w:rsid w:val="5A7A7400"/>
    <w:rsid w:val="5A7F4A16"/>
    <w:rsid w:val="5A851901"/>
    <w:rsid w:val="5A8C2C8F"/>
    <w:rsid w:val="5A90452E"/>
    <w:rsid w:val="5A9643DE"/>
    <w:rsid w:val="5A9D1E17"/>
    <w:rsid w:val="5AA4447D"/>
    <w:rsid w:val="5AA63D51"/>
    <w:rsid w:val="5AA955EF"/>
    <w:rsid w:val="5AAB4D51"/>
    <w:rsid w:val="5AB0697E"/>
    <w:rsid w:val="5AB521E6"/>
    <w:rsid w:val="5AB87F28"/>
    <w:rsid w:val="5AC43474"/>
    <w:rsid w:val="5AC437D8"/>
    <w:rsid w:val="5AC95C92"/>
    <w:rsid w:val="5ACD5782"/>
    <w:rsid w:val="5AD92379"/>
    <w:rsid w:val="5AE825BC"/>
    <w:rsid w:val="5AEF3D93"/>
    <w:rsid w:val="5AF34ABD"/>
    <w:rsid w:val="5AF40EC5"/>
    <w:rsid w:val="5AFA5E4B"/>
    <w:rsid w:val="5AFD464C"/>
    <w:rsid w:val="5B0B62AA"/>
    <w:rsid w:val="5B1C2265"/>
    <w:rsid w:val="5B2D6220"/>
    <w:rsid w:val="5B33135D"/>
    <w:rsid w:val="5B3522CC"/>
    <w:rsid w:val="5B381EE0"/>
    <w:rsid w:val="5B3F5F54"/>
    <w:rsid w:val="5B5E3DFE"/>
    <w:rsid w:val="5B61236E"/>
    <w:rsid w:val="5B6B6D49"/>
    <w:rsid w:val="5B7D1484"/>
    <w:rsid w:val="5B8878FB"/>
    <w:rsid w:val="5B9242D5"/>
    <w:rsid w:val="5B9C68F8"/>
    <w:rsid w:val="5BB22BCA"/>
    <w:rsid w:val="5BD14DFE"/>
    <w:rsid w:val="5BD4669C"/>
    <w:rsid w:val="5BF136F2"/>
    <w:rsid w:val="5BF226BA"/>
    <w:rsid w:val="5BF40AEC"/>
    <w:rsid w:val="5C1902FA"/>
    <w:rsid w:val="5C237623"/>
    <w:rsid w:val="5C335AB8"/>
    <w:rsid w:val="5C531CB7"/>
    <w:rsid w:val="5C594DF3"/>
    <w:rsid w:val="5C6C5A31"/>
    <w:rsid w:val="5C700ABB"/>
    <w:rsid w:val="5C72100C"/>
    <w:rsid w:val="5CA02A22"/>
    <w:rsid w:val="5CAB38A1"/>
    <w:rsid w:val="5CC71B5E"/>
    <w:rsid w:val="5CC826A5"/>
    <w:rsid w:val="5CD86660"/>
    <w:rsid w:val="5CE9261B"/>
    <w:rsid w:val="5CEE5E83"/>
    <w:rsid w:val="5CF8460C"/>
    <w:rsid w:val="5CFE60C6"/>
    <w:rsid w:val="5CFF2BFB"/>
    <w:rsid w:val="5D0B07E3"/>
    <w:rsid w:val="5D1256CE"/>
    <w:rsid w:val="5D1458EA"/>
    <w:rsid w:val="5D172FC8"/>
    <w:rsid w:val="5D1C654D"/>
    <w:rsid w:val="5D2B373A"/>
    <w:rsid w:val="5D3E490B"/>
    <w:rsid w:val="5D3F048D"/>
    <w:rsid w:val="5D5061F6"/>
    <w:rsid w:val="5D551A5E"/>
    <w:rsid w:val="5D55380D"/>
    <w:rsid w:val="5D572F2A"/>
    <w:rsid w:val="5D5F6439"/>
    <w:rsid w:val="5D616655"/>
    <w:rsid w:val="5D665A1A"/>
    <w:rsid w:val="5D79574D"/>
    <w:rsid w:val="5D7C6FEB"/>
    <w:rsid w:val="5D8718BE"/>
    <w:rsid w:val="5DCA5FA9"/>
    <w:rsid w:val="5DCC2158"/>
    <w:rsid w:val="5DD230AF"/>
    <w:rsid w:val="5DD26CE9"/>
    <w:rsid w:val="5DDE3802"/>
    <w:rsid w:val="5DE67E90"/>
    <w:rsid w:val="5E0527AA"/>
    <w:rsid w:val="5E0A2849"/>
    <w:rsid w:val="5E111E29"/>
    <w:rsid w:val="5E196F30"/>
    <w:rsid w:val="5E247B86"/>
    <w:rsid w:val="5E5F7940"/>
    <w:rsid w:val="5E6103AF"/>
    <w:rsid w:val="5E855685"/>
    <w:rsid w:val="5E8819C0"/>
    <w:rsid w:val="5E9803A2"/>
    <w:rsid w:val="5EB34C8F"/>
    <w:rsid w:val="5EBF5135"/>
    <w:rsid w:val="5ED82947"/>
    <w:rsid w:val="5EE035AA"/>
    <w:rsid w:val="5EE17A4E"/>
    <w:rsid w:val="5EE50BC0"/>
    <w:rsid w:val="5EE91D77"/>
    <w:rsid w:val="5EF101FF"/>
    <w:rsid w:val="5EF63A66"/>
    <w:rsid w:val="5F13572D"/>
    <w:rsid w:val="5F195F01"/>
    <w:rsid w:val="5F1F2324"/>
    <w:rsid w:val="5F571ABE"/>
    <w:rsid w:val="5F577D10"/>
    <w:rsid w:val="5F630463"/>
    <w:rsid w:val="5F724B4A"/>
    <w:rsid w:val="5F881C77"/>
    <w:rsid w:val="5FAB1E0A"/>
    <w:rsid w:val="5FAD16DE"/>
    <w:rsid w:val="5FC609F2"/>
    <w:rsid w:val="5FCB425A"/>
    <w:rsid w:val="5FCF78A6"/>
    <w:rsid w:val="5FD17AC2"/>
    <w:rsid w:val="5FE25104"/>
    <w:rsid w:val="5FE5770A"/>
    <w:rsid w:val="60116111"/>
    <w:rsid w:val="60206354"/>
    <w:rsid w:val="60275934"/>
    <w:rsid w:val="602776E2"/>
    <w:rsid w:val="60343BAD"/>
    <w:rsid w:val="60375B96"/>
    <w:rsid w:val="603B4F3C"/>
    <w:rsid w:val="605B738C"/>
    <w:rsid w:val="605F2F40"/>
    <w:rsid w:val="60771CEC"/>
    <w:rsid w:val="60795A64"/>
    <w:rsid w:val="60AC29D5"/>
    <w:rsid w:val="60B66CB8"/>
    <w:rsid w:val="60D1764E"/>
    <w:rsid w:val="60F65306"/>
    <w:rsid w:val="611A2DA3"/>
    <w:rsid w:val="612D68E5"/>
    <w:rsid w:val="613C540F"/>
    <w:rsid w:val="61447A97"/>
    <w:rsid w:val="617E678F"/>
    <w:rsid w:val="619061B4"/>
    <w:rsid w:val="61A15272"/>
    <w:rsid w:val="61AE5BE1"/>
    <w:rsid w:val="61BA63D7"/>
    <w:rsid w:val="61C471B3"/>
    <w:rsid w:val="61C84EF5"/>
    <w:rsid w:val="61CF358C"/>
    <w:rsid w:val="61DA61FE"/>
    <w:rsid w:val="61DB4C28"/>
    <w:rsid w:val="61DE64C6"/>
    <w:rsid w:val="61E84C4F"/>
    <w:rsid w:val="61E909C7"/>
    <w:rsid w:val="61F21F72"/>
    <w:rsid w:val="62005D46"/>
    <w:rsid w:val="620B36E5"/>
    <w:rsid w:val="620F042E"/>
    <w:rsid w:val="62126170"/>
    <w:rsid w:val="621912AD"/>
    <w:rsid w:val="621E2D67"/>
    <w:rsid w:val="622B7232"/>
    <w:rsid w:val="62457479"/>
    <w:rsid w:val="624B3430"/>
    <w:rsid w:val="625247BE"/>
    <w:rsid w:val="625422E5"/>
    <w:rsid w:val="62612C54"/>
    <w:rsid w:val="626A7D5A"/>
    <w:rsid w:val="628030DA"/>
    <w:rsid w:val="6292105F"/>
    <w:rsid w:val="629B6165"/>
    <w:rsid w:val="62A56679"/>
    <w:rsid w:val="62AC319F"/>
    <w:rsid w:val="62B62F9F"/>
    <w:rsid w:val="62C0797A"/>
    <w:rsid w:val="62C747BF"/>
    <w:rsid w:val="62CC27C3"/>
    <w:rsid w:val="62E73159"/>
    <w:rsid w:val="630A6E47"/>
    <w:rsid w:val="630E6937"/>
    <w:rsid w:val="631A170A"/>
    <w:rsid w:val="63310878"/>
    <w:rsid w:val="6351550F"/>
    <w:rsid w:val="63554566"/>
    <w:rsid w:val="635D341B"/>
    <w:rsid w:val="63620A31"/>
    <w:rsid w:val="63626C83"/>
    <w:rsid w:val="636522D0"/>
    <w:rsid w:val="63666441"/>
    <w:rsid w:val="638E1826"/>
    <w:rsid w:val="63901A42"/>
    <w:rsid w:val="6393508F"/>
    <w:rsid w:val="639D5F0D"/>
    <w:rsid w:val="63A31776"/>
    <w:rsid w:val="63B05C41"/>
    <w:rsid w:val="63D46A06"/>
    <w:rsid w:val="63E94CAF"/>
    <w:rsid w:val="63FC70D8"/>
    <w:rsid w:val="640424FD"/>
    <w:rsid w:val="640815D9"/>
    <w:rsid w:val="64124205"/>
    <w:rsid w:val="641C5CB8"/>
    <w:rsid w:val="641C6E32"/>
    <w:rsid w:val="64300B2F"/>
    <w:rsid w:val="64410F8F"/>
    <w:rsid w:val="644F0FB6"/>
    <w:rsid w:val="645660BE"/>
    <w:rsid w:val="645854A5"/>
    <w:rsid w:val="647171E1"/>
    <w:rsid w:val="647C3D33"/>
    <w:rsid w:val="64882719"/>
    <w:rsid w:val="648D7D30"/>
    <w:rsid w:val="64A01811"/>
    <w:rsid w:val="64A05CB5"/>
    <w:rsid w:val="64A07A63"/>
    <w:rsid w:val="64A137DB"/>
    <w:rsid w:val="64AC7B4C"/>
    <w:rsid w:val="64AF7CA6"/>
    <w:rsid w:val="64B32933"/>
    <w:rsid w:val="64C51278"/>
    <w:rsid w:val="64CA2D32"/>
    <w:rsid w:val="64CC0858"/>
    <w:rsid w:val="64D771FD"/>
    <w:rsid w:val="64DD2FE4"/>
    <w:rsid w:val="64DD4813"/>
    <w:rsid w:val="64EC4A56"/>
    <w:rsid w:val="64F41B5D"/>
    <w:rsid w:val="64F95770"/>
    <w:rsid w:val="6502071E"/>
    <w:rsid w:val="6502565B"/>
    <w:rsid w:val="6504101A"/>
    <w:rsid w:val="65053D6A"/>
    <w:rsid w:val="6517113D"/>
    <w:rsid w:val="651B17E0"/>
    <w:rsid w:val="65202952"/>
    <w:rsid w:val="6531690D"/>
    <w:rsid w:val="653603C7"/>
    <w:rsid w:val="653F137F"/>
    <w:rsid w:val="655820EC"/>
    <w:rsid w:val="65646CE3"/>
    <w:rsid w:val="656E190F"/>
    <w:rsid w:val="65871D57"/>
    <w:rsid w:val="65953340"/>
    <w:rsid w:val="659B5399"/>
    <w:rsid w:val="65B57676"/>
    <w:rsid w:val="65CC4888"/>
    <w:rsid w:val="65CD4D71"/>
    <w:rsid w:val="65EF0E64"/>
    <w:rsid w:val="660C57F8"/>
    <w:rsid w:val="66134265"/>
    <w:rsid w:val="662A7322"/>
    <w:rsid w:val="663761A5"/>
    <w:rsid w:val="66383CCB"/>
    <w:rsid w:val="664C0C28"/>
    <w:rsid w:val="665B056A"/>
    <w:rsid w:val="665E1984"/>
    <w:rsid w:val="66656621"/>
    <w:rsid w:val="6673772E"/>
    <w:rsid w:val="667F4473"/>
    <w:rsid w:val="66A3383B"/>
    <w:rsid w:val="66AD6AFC"/>
    <w:rsid w:val="66B06C1C"/>
    <w:rsid w:val="66B700A4"/>
    <w:rsid w:val="66C8504F"/>
    <w:rsid w:val="66CB4B3F"/>
    <w:rsid w:val="66D6776C"/>
    <w:rsid w:val="670818F0"/>
    <w:rsid w:val="67087B42"/>
    <w:rsid w:val="6710357C"/>
    <w:rsid w:val="671958AB"/>
    <w:rsid w:val="674E23FC"/>
    <w:rsid w:val="67535261"/>
    <w:rsid w:val="675863D3"/>
    <w:rsid w:val="67596FAF"/>
    <w:rsid w:val="67672ABA"/>
    <w:rsid w:val="67694A84"/>
    <w:rsid w:val="6772066E"/>
    <w:rsid w:val="67C27CF0"/>
    <w:rsid w:val="67D30150"/>
    <w:rsid w:val="67DD2D7C"/>
    <w:rsid w:val="67DD4B2A"/>
    <w:rsid w:val="67F26828"/>
    <w:rsid w:val="68091DC3"/>
    <w:rsid w:val="680A5019"/>
    <w:rsid w:val="681D761D"/>
    <w:rsid w:val="68212C69"/>
    <w:rsid w:val="68262975"/>
    <w:rsid w:val="68295FC1"/>
    <w:rsid w:val="682B1D3A"/>
    <w:rsid w:val="682D5AB2"/>
    <w:rsid w:val="6837248C"/>
    <w:rsid w:val="6841330B"/>
    <w:rsid w:val="68557478"/>
    <w:rsid w:val="685748DD"/>
    <w:rsid w:val="685E210F"/>
    <w:rsid w:val="686A16A2"/>
    <w:rsid w:val="686D5EAE"/>
    <w:rsid w:val="686E08E1"/>
    <w:rsid w:val="686E1C26"/>
    <w:rsid w:val="687436E1"/>
    <w:rsid w:val="687C2595"/>
    <w:rsid w:val="68A815DC"/>
    <w:rsid w:val="68C33D20"/>
    <w:rsid w:val="68C63810"/>
    <w:rsid w:val="68C857DA"/>
    <w:rsid w:val="68CA77A4"/>
    <w:rsid w:val="68E72104"/>
    <w:rsid w:val="68FC5484"/>
    <w:rsid w:val="690D143F"/>
    <w:rsid w:val="690F6F65"/>
    <w:rsid w:val="6914031A"/>
    <w:rsid w:val="692A58A6"/>
    <w:rsid w:val="69360996"/>
    <w:rsid w:val="69423E5F"/>
    <w:rsid w:val="694A4E99"/>
    <w:rsid w:val="696F20FA"/>
    <w:rsid w:val="6974326C"/>
    <w:rsid w:val="6978781F"/>
    <w:rsid w:val="697C75A4"/>
    <w:rsid w:val="697F233D"/>
    <w:rsid w:val="698711F2"/>
    <w:rsid w:val="698C2CAC"/>
    <w:rsid w:val="699456BD"/>
    <w:rsid w:val="699658D9"/>
    <w:rsid w:val="69B24EF4"/>
    <w:rsid w:val="69C02956"/>
    <w:rsid w:val="69C53AC8"/>
    <w:rsid w:val="69C67F6C"/>
    <w:rsid w:val="69C83781"/>
    <w:rsid w:val="69FA19C4"/>
    <w:rsid w:val="6A114F5F"/>
    <w:rsid w:val="6A132A85"/>
    <w:rsid w:val="6A164324"/>
    <w:rsid w:val="6A1B204C"/>
    <w:rsid w:val="6A211646"/>
    <w:rsid w:val="6A337AD8"/>
    <w:rsid w:val="6A4771A7"/>
    <w:rsid w:val="6A4E7F61"/>
    <w:rsid w:val="6A6908F7"/>
    <w:rsid w:val="6A6D6639"/>
    <w:rsid w:val="6A7C4ACE"/>
    <w:rsid w:val="6A863F6D"/>
    <w:rsid w:val="6A883473"/>
    <w:rsid w:val="6A890F99"/>
    <w:rsid w:val="6A8B2F63"/>
    <w:rsid w:val="6A9A4AD3"/>
    <w:rsid w:val="6A9F7599"/>
    <w:rsid w:val="6AB856FE"/>
    <w:rsid w:val="6ABE50E7"/>
    <w:rsid w:val="6ACD14CA"/>
    <w:rsid w:val="6AE65316"/>
    <w:rsid w:val="6AF11255"/>
    <w:rsid w:val="6AFE1987"/>
    <w:rsid w:val="6B030D4C"/>
    <w:rsid w:val="6B070921"/>
    <w:rsid w:val="6B0C5E52"/>
    <w:rsid w:val="6B1116BB"/>
    <w:rsid w:val="6B122D3D"/>
    <w:rsid w:val="6B160A7F"/>
    <w:rsid w:val="6B2807B2"/>
    <w:rsid w:val="6B2D6E6C"/>
    <w:rsid w:val="6B416A28"/>
    <w:rsid w:val="6B476E8A"/>
    <w:rsid w:val="6B5477F9"/>
    <w:rsid w:val="6B6C069F"/>
    <w:rsid w:val="6B6C68F1"/>
    <w:rsid w:val="6B811C71"/>
    <w:rsid w:val="6B8444F5"/>
    <w:rsid w:val="6B8D6867"/>
    <w:rsid w:val="6B9F6CC6"/>
    <w:rsid w:val="6BAF4A30"/>
    <w:rsid w:val="6BBD038C"/>
    <w:rsid w:val="6BC73B27"/>
    <w:rsid w:val="6BDF5315"/>
    <w:rsid w:val="6BE53C38"/>
    <w:rsid w:val="6BF30DC0"/>
    <w:rsid w:val="6C057DF6"/>
    <w:rsid w:val="6C1F1BB5"/>
    <w:rsid w:val="6C2B67AC"/>
    <w:rsid w:val="6C353187"/>
    <w:rsid w:val="6C4C04D0"/>
    <w:rsid w:val="6C501D6F"/>
    <w:rsid w:val="6C5C4BB7"/>
    <w:rsid w:val="6C643A6C"/>
    <w:rsid w:val="6C6455BD"/>
    <w:rsid w:val="6C727F37"/>
    <w:rsid w:val="6C733CAF"/>
    <w:rsid w:val="6C767C02"/>
    <w:rsid w:val="6C865790"/>
    <w:rsid w:val="6C8B724B"/>
    <w:rsid w:val="6C97799E"/>
    <w:rsid w:val="6C9A41E8"/>
    <w:rsid w:val="6CA95923"/>
    <w:rsid w:val="6CB60C8B"/>
    <w:rsid w:val="6CBA7A02"/>
    <w:rsid w:val="6CC83FFB"/>
    <w:rsid w:val="6CCB3AEB"/>
    <w:rsid w:val="6CD14E31"/>
    <w:rsid w:val="6CD97FB6"/>
    <w:rsid w:val="6CE30E35"/>
    <w:rsid w:val="6CF546C4"/>
    <w:rsid w:val="6CFD4CED"/>
    <w:rsid w:val="6D056FFD"/>
    <w:rsid w:val="6D0F39D8"/>
    <w:rsid w:val="6D130DA2"/>
    <w:rsid w:val="6D140FEE"/>
    <w:rsid w:val="6D1A1103"/>
    <w:rsid w:val="6D237483"/>
    <w:rsid w:val="6D3B2A1F"/>
    <w:rsid w:val="6D4D62AE"/>
    <w:rsid w:val="6D6528D6"/>
    <w:rsid w:val="6D70786A"/>
    <w:rsid w:val="6D7970A3"/>
    <w:rsid w:val="6D7A3453"/>
    <w:rsid w:val="6D7B72BF"/>
    <w:rsid w:val="6D806684"/>
    <w:rsid w:val="6D894F3A"/>
    <w:rsid w:val="6D910891"/>
    <w:rsid w:val="6D9E2FAE"/>
    <w:rsid w:val="6DA305C4"/>
    <w:rsid w:val="6DA57E98"/>
    <w:rsid w:val="6DB97DE8"/>
    <w:rsid w:val="6DCF13B9"/>
    <w:rsid w:val="6DCF3167"/>
    <w:rsid w:val="6DDE33AA"/>
    <w:rsid w:val="6DF131CA"/>
    <w:rsid w:val="6E0678F4"/>
    <w:rsid w:val="6E072901"/>
    <w:rsid w:val="6E2434B3"/>
    <w:rsid w:val="6E245261"/>
    <w:rsid w:val="6E250FD9"/>
    <w:rsid w:val="6E31797E"/>
    <w:rsid w:val="6E480086"/>
    <w:rsid w:val="6E5D0773"/>
    <w:rsid w:val="6E5E7DEC"/>
    <w:rsid w:val="6E645FA5"/>
    <w:rsid w:val="6E90563A"/>
    <w:rsid w:val="6EB760D5"/>
    <w:rsid w:val="6EC10D02"/>
    <w:rsid w:val="6EDB61E3"/>
    <w:rsid w:val="6F094457"/>
    <w:rsid w:val="6F107F60"/>
    <w:rsid w:val="6F1D7A06"/>
    <w:rsid w:val="6F3010B4"/>
    <w:rsid w:val="6F3E4681"/>
    <w:rsid w:val="6F3F54BA"/>
    <w:rsid w:val="6F433E0D"/>
    <w:rsid w:val="6F6B26EE"/>
    <w:rsid w:val="6F800BBD"/>
    <w:rsid w:val="6F8A10CB"/>
    <w:rsid w:val="6FA7439C"/>
    <w:rsid w:val="6FC0720B"/>
    <w:rsid w:val="6FD64C81"/>
    <w:rsid w:val="6FE70C3C"/>
    <w:rsid w:val="6FF46EB5"/>
    <w:rsid w:val="6FFB46E7"/>
    <w:rsid w:val="700C0A45"/>
    <w:rsid w:val="700C41FF"/>
    <w:rsid w:val="700C750A"/>
    <w:rsid w:val="701B119D"/>
    <w:rsid w:val="70264800"/>
    <w:rsid w:val="70300483"/>
    <w:rsid w:val="703E6382"/>
    <w:rsid w:val="707B1384"/>
    <w:rsid w:val="708244C1"/>
    <w:rsid w:val="70871AD7"/>
    <w:rsid w:val="70904E30"/>
    <w:rsid w:val="70940927"/>
    <w:rsid w:val="709F2B5F"/>
    <w:rsid w:val="70A97C9F"/>
    <w:rsid w:val="70AB7EBB"/>
    <w:rsid w:val="70C920F0"/>
    <w:rsid w:val="70CE7706"/>
    <w:rsid w:val="70D54A2C"/>
    <w:rsid w:val="70E90287"/>
    <w:rsid w:val="70F96E79"/>
    <w:rsid w:val="710650F2"/>
    <w:rsid w:val="710C5C9D"/>
    <w:rsid w:val="710E3FA6"/>
    <w:rsid w:val="712B4B58"/>
    <w:rsid w:val="714A6BFB"/>
    <w:rsid w:val="71500A63"/>
    <w:rsid w:val="71575B78"/>
    <w:rsid w:val="715B3690"/>
    <w:rsid w:val="7164006A"/>
    <w:rsid w:val="71724535"/>
    <w:rsid w:val="717402AD"/>
    <w:rsid w:val="717604C9"/>
    <w:rsid w:val="71881D7C"/>
    <w:rsid w:val="71890D14"/>
    <w:rsid w:val="718A5D23"/>
    <w:rsid w:val="71902C0D"/>
    <w:rsid w:val="719C7804"/>
    <w:rsid w:val="71A3409C"/>
    <w:rsid w:val="71AC3EEB"/>
    <w:rsid w:val="71B27028"/>
    <w:rsid w:val="71B66B18"/>
    <w:rsid w:val="71B903B6"/>
    <w:rsid w:val="71BB6CD5"/>
    <w:rsid w:val="71BC4B8D"/>
    <w:rsid w:val="71C60A13"/>
    <w:rsid w:val="71CF53A1"/>
    <w:rsid w:val="71E13469"/>
    <w:rsid w:val="71EA0570"/>
    <w:rsid w:val="720E0702"/>
    <w:rsid w:val="72477987"/>
    <w:rsid w:val="7249173A"/>
    <w:rsid w:val="72517CF9"/>
    <w:rsid w:val="72520E1A"/>
    <w:rsid w:val="72536115"/>
    <w:rsid w:val="725400DF"/>
    <w:rsid w:val="725974A3"/>
    <w:rsid w:val="72712A3F"/>
    <w:rsid w:val="728210A7"/>
    <w:rsid w:val="72850298"/>
    <w:rsid w:val="72855BA6"/>
    <w:rsid w:val="728C5ACB"/>
    <w:rsid w:val="729606F7"/>
    <w:rsid w:val="72A03324"/>
    <w:rsid w:val="72C40DC1"/>
    <w:rsid w:val="72C9287B"/>
    <w:rsid w:val="72D03C09"/>
    <w:rsid w:val="72E655E6"/>
    <w:rsid w:val="72EB47D9"/>
    <w:rsid w:val="72EE408F"/>
    <w:rsid w:val="72FD42D3"/>
    <w:rsid w:val="72FD4A3A"/>
    <w:rsid w:val="730B69EF"/>
    <w:rsid w:val="731216A1"/>
    <w:rsid w:val="731358A4"/>
    <w:rsid w:val="732950C8"/>
    <w:rsid w:val="732B52E4"/>
    <w:rsid w:val="73353A6C"/>
    <w:rsid w:val="7343262D"/>
    <w:rsid w:val="736761DD"/>
    <w:rsid w:val="73790C7A"/>
    <w:rsid w:val="737B03F0"/>
    <w:rsid w:val="73816CB2"/>
    <w:rsid w:val="73836ECE"/>
    <w:rsid w:val="73841632"/>
    <w:rsid w:val="738F5872"/>
    <w:rsid w:val="73B11254"/>
    <w:rsid w:val="73E62FB9"/>
    <w:rsid w:val="73E7745D"/>
    <w:rsid w:val="74035919"/>
    <w:rsid w:val="7416564C"/>
    <w:rsid w:val="7419338E"/>
    <w:rsid w:val="7420471D"/>
    <w:rsid w:val="742C4E6F"/>
    <w:rsid w:val="74365CEE"/>
    <w:rsid w:val="745461E1"/>
    <w:rsid w:val="74696FEF"/>
    <w:rsid w:val="7476433D"/>
    <w:rsid w:val="74795BDB"/>
    <w:rsid w:val="749F1AE5"/>
    <w:rsid w:val="74A964C0"/>
    <w:rsid w:val="74B66E2F"/>
    <w:rsid w:val="74BA502C"/>
    <w:rsid w:val="74BB61F3"/>
    <w:rsid w:val="74C47364"/>
    <w:rsid w:val="74D15A17"/>
    <w:rsid w:val="74DD616A"/>
    <w:rsid w:val="74E24103"/>
    <w:rsid w:val="74F00593"/>
    <w:rsid w:val="74FF0544"/>
    <w:rsid w:val="750A3785"/>
    <w:rsid w:val="751853F4"/>
    <w:rsid w:val="751F49D4"/>
    <w:rsid w:val="7521699E"/>
    <w:rsid w:val="75306BE1"/>
    <w:rsid w:val="754B57C9"/>
    <w:rsid w:val="755F053F"/>
    <w:rsid w:val="75616D9B"/>
    <w:rsid w:val="75720FA8"/>
    <w:rsid w:val="75774810"/>
    <w:rsid w:val="758B30E4"/>
    <w:rsid w:val="75BC0475"/>
    <w:rsid w:val="75CF63FA"/>
    <w:rsid w:val="75D67789"/>
    <w:rsid w:val="75E4177A"/>
    <w:rsid w:val="75ED6880"/>
    <w:rsid w:val="75EF084A"/>
    <w:rsid w:val="75F61BD9"/>
    <w:rsid w:val="75FC4D15"/>
    <w:rsid w:val="760C31AA"/>
    <w:rsid w:val="761402B1"/>
    <w:rsid w:val="763A258A"/>
    <w:rsid w:val="767075E3"/>
    <w:rsid w:val="767E397C"/>
    <w:rsid w:val="76923F40"/>
    <w:rsid w:val="76966F18"/>
    <w:rsid w:val="76A333E3"/>
    <w:rsid w:val="76B2140A"/>
    <w:rsid w:val="76C673A5"/>
    <w:rsid w:val="76C7375D"/>
    <w:rsid w:val="76C85948"/>
    <w:rsid w:val="76CA4E14"/>
    <w:rsid w:val="76DB492B"/>
    <w:rsid w:val="77100A78"/>
    <w:rsid w:val="77124CF2"/>
    <w:rsid w:val="77167510"/>
    <w:rsid w:val="77185B7F"/>
    <w:rsid w:val="772269FE"/>
    <w:rsid w:val="77244524"/>
    <w:rsid w:val="772E7150"/>
    <w:rsid w:val="773B615D"/>
    <w:rsid w:val="77434C94"/>
    <w:rsid w:val="774D3A7A"/>
    <w:rsid w:val="7762504C"/>
    <w:rsid w:val="776B5CAF"/>
    <w:rsid w:val="77784870"/>
    <w:rsid w:val="777A2459"/>
    <w:rsid w:val="7782124A"/>
    <w:rsid w:val="7789045C"/>
    <w:rsid w:val="77896BA8"/>
    <w:rsid w:val="7795537C"/>
    <w:rsid w:val="779C055E"/>
    <w:rsid w:val="779F5525"/>
    <w:rsid w:val="77A83848"/>
    <w:rsid w:val="77AE0291"/>
    <w:rsid w:val="77B75398"/>
    <w:rsid w:val="77C90C27"/>
    <w:rsid w:val="77D221D2"/>
    <w:rsid w:val="77E31CE9"/>
    <w:rsid w:val="77E50319"/>
    <w:rsid w:val="77E57D02"/>
    <w:rsid w:val="77EB5041"/>
    <w:rsid w:val="77FE6B23"/>
    <w:rsid w:val="78034139"/>
    <w:rsid w:val="78057BF6"/>
    <w:rsid w:val="78212811"/>
    <w:rsid w:val="782A7918"/>
    <w:rsid w:val="784163E9"/>
    <w:rsid w:val="78623556"/>
    <w:rsid w:val="786F6B56"/>
    <w:rsid w:val="7874199A"/>
    <w:rsid w:val="78746DE5"/>
    <w:rsid w:val="7880578A"/>
    <w:rsid w:val="78913205"/>
    <w:rsid w:val="789E0306"/>
    <w:rsid w:val="78A25C9E"/>
    <w:rsid w:val="78A771BA"/>
    <w:rsid w:val="78AB2ED5"/>
    <w:rsid w:val="78AC47D1"/>
    <w:rsid w:val="78B47B29"/>
    <w:rsid w:val="78CA4C57"/>
    <w:rsid w:val="78E73A5B"/>
    <w:rsid w:val="78EB0F42"/>
    <w:rsid w:val="78F72E2C"/>
    <w:rsid w:val="790E2D96"/>
    <w:rsid w:val="79144124"/>
    <w:rsid w:val="792E168A"/>
    <w:rsid w:val="793B1364"/>
    <w:rsid w:val="794B7132"/>
    <w:rsid w:val="79623BCF"/>
    <w:rsid w:val="797D43BF"/>
    <w:rsid w:val="7993773F"/>
    <w:rsid w:val="79A25BD4"/>
    <w:rsid w:val="79A454A8"/>
    <w:rsid w:val="79AD6A52"/>
    <w:rsid w:val="79D20267"/>
    <w:rsid w:val="7A025DAC"/>
    <w:rsid w:val="7A0B3539"/>
    <w:rsid w:val="7A13262E"/>
    <w:rsid w:val="7A1E525A"/>
    <w:rsid w:val="7A2D5B04"/>
    <w:rsid w:val="7A2E1215"/>
    <w:rsid w:val="7A543372"/>
    <w:rsid w:val="7A57076C"/>
    <w:rsid w:val="7A590988"/>
    <w:rsid w:val="7A5E7D4D"/>
    <w:rsid w:val="7A60758C"/>
    <w:rsid w:val="7A8A6D94"/>
    <w:rsid w:val="7A9015ED"/>
    <w:rsid w:val="7AA339B1"/>
    <w:rsid w:val="7AB64BA2"/>
    <w:rsid w:val="7ABB0CFB"/>
    <w:rsid w:val="7AC1208A"/>
    <w:rsid w:val="7AF53A62"/>
    <w:rsid w:val="7AFC3483"/>
    <w:rsid w:val="7B054F71"/>
    <w:rsid w:val="7B115E66"/>
    <w:rsid w:val="7B135C63"/>
    <w:rsid w:val="7B144F61"/>
    <w:rsid w:val="7B203254"/>
    <w:rsid w:val="7B2F16E9"/>
    <w:rsid w:val="7B4707E1"/>
    <w:rsid w:val="7B5353D8"/>
    <w:rsid w:val="7B65510B"/>
    <w:rsid w:val="7B6E0463"/>
    <w:rsid w:val="7B737828"/>
    <w:rsid w:val="7B8C08E9"/>
    <w:rsid w:val="7BA67BFD"/>
    <w:rsid w:val="7BA93120"/>
    <w:rsid w:val="7BC462D5"/>
    <w:rsid w:val="7BD227A0"/>
    <w:rsid w:val="7BD330A2"/>
    <w:rsid w:val="7C0F16F8"/>
    <w:rsid w:val="7C217284"/>
    <w:rsid w:val="7C39281F"/>
    <w:rsid w:val="7C43369E"/>
    <w:rsid w:val="7C4A67DB"/>
    <w:rsid w:val="7C5232BC"/>
    <w:rsid w:val="7C6D4186"/>
    <w:rsid w:val="7CA828C1"/>
    <w:rsid w:val="7CAA7279"/>
    <w:rsid w:val="7CAD0B17"/>
    <w:rsid w:val="7CDD55BD"/>
    <w:rsid w:val="7CE0713F"/>
    <w:rsid w:val="7CE87DA1"/>
    <w:rsid w:val="7CEF7382"/>
    <w:rsid w:val="7CFB7AD5"/>
    <w:rsid w:val="7D020E63"/>
    <w:rsid w:val="7D080444"/>
    <w:rsid w:val="7D33726F"/>
    <w:rsid w:val="7D4476CE"/>
    <w:rsid w:val="7D4E0A7A"/>
    <w:rsid w:val="7D5947FB"/>
    <w:rsid w:val="7D603DDC"/>
    <w:rsid w:val="7D686102"/>
    <w:rsid w:val="7D6D4C09"/>
    <w:rsid w:val="7D7521DA"/>
    <w:rsid w:val="7D761851"/>
    <w:rsid w:val="7D7F24B4"/>
    <w:rsid w:val="7D8A4774"/>
    <w:rsid w:val="7DB12889"/>
    <w:rsid w:val="7DB87774"/>
    <w:rsid w:val="7DBD2FDC"/>
    <w:rsid w:val="7DCA74A7"/>
    <w:rsid w:val="7DD24CD9"/>
    <w:rsid w:val="7DD262B9"/>
    <w:rsid w:val="7DEB7B49"/>
    <w:rsid w:val="7DF54524"/>
    <w:rsid w:val="7E094473"/>
    <w:rsid w:val="7E152E18"/>
    <w:rsid w:val="7E17093E"/>
    <w:rsid w:val="7E3808B5"/>
    <w:rsid w:val="7E3D5ECB"/>
    <w:rsid w:val="7E3E236F"/>
    <w:rsid w:val="7E4234E1"/>
    <w:rsid w:val="7E461224"/>
    <w:rsid w:val="7E590F57"/>
    <w:rsid w:val="7E6E1DAC"/>
    <w:rsid w:val="7E8F4979"/>
    <w:rsid w:val="7E927FC5"/>
    <w:rsid w:val="7EA61CC2"/>
    <w:rsid w:val="7EAE37FE"/>
    <w:rsid w:val="7EB415C7"/>
    <w:rsid w:val="7EB919F5"/>
    <w:rsid w:val="7EBC3F51"/>
    <w:rsid w:val="7EC32874"/>
    <w:rsid w:val="7EC860DC"/>
    <w:rsid w:val="7EC928F7"/>
    <w:rsid w:val="7EEC1DCB"/>
    <w:rsid w:val="7EF112A2"/>
    <w:rsid w:val="7EF26CB5"/>
    <w:rsid w:val="7EF8154C"/>
    <w:rsid w:val="7EFE38AC"/>
    <w:rsid w:val="7F007624"/>
    <w:rsid w:val="7F054C3B"/>
    <w:rsid w:val="7F224FB0"/>
    <w:rsid w:val="7F2C33CB"/>
    <w:rsid w:val="7F3177DE"/>
    <w:rsid w:val="7F4C0ABC"/>
    <w:rsid w:val="7F5636E8"/>
    <w:rsid w:val="7F572F31"/>
    <w:rsid w:val="7F594F87"/>
    <w:rsid w:val="7F69341C"/>
    <w:rsid w:val="7F792F33"/>
    <w:rsid w:val="7F840255"/>
    <w:rsid w:val="7F9B10FB"/>
    <w:rsid w:val="7FA2248A"/>
    <w:rsid w:val="7FA53D28"/>
    <w:rsid w:val="7FAE6071"/>
    <w:rsid w:val="7FDC1E3F"/>
    <w:rsid w:val="7FF627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28"/>
    <w:autoRedefine/>
    <w:qFormat/>
    <w:uiPriority w:val="0"/>
    <w:pPr>
      <w:spacing w:line="576" w:lineRule="auto"/>
      <w:outlineLvl w:val="0"/>
    </w:pPr>
    <w:rPr>
      <w:kern w:val="44"/>
      <w:sz w:val="44"/>
    </w:rPr>
  </w:style>
  <w:style w:type="paragraph" w:styleId="3">
    <w:name w:val="heading 2"/>
    <w:basedOn w:val="1"/>
    <w:next w:val="1"/>
    <w:link w:val="30"/>
    <w:autoRedefine/>
    <w:unhideWhenUsed/>
    <w:qFormat/>
    <w:uiPriority w:val="0"/>
    <w:pPr>
      <w:keepNext/>
      <w:keepLines/>
      <w:spacing w:line="413" w:lineRule="auto"/>
      <w:outlineLvl w:val="1"/>
    </w:pPr>
    <w:rPr>
      <w:rFonts w:ascii="Arial" w:hAnsi="Arial" w:eastAsia="黑体"/>
      <w:b/>
      <w:sz w:val="32"/>
    </w:rPr>
  </w:style>
  <w:style w:type="paragraph" w:styleId="4">
    <w:name w:val="heading 3"/>
    <w:basedOn w:val="1"/>
    <w:next w:val="1"/>
    <w:link w:val="36"/>
    <w:autoRedefine/>
    <w:unhideWhenUsed/>
    <w:qFormat/>
    <w:uiPriority w:val="0"/>
    <w:pPr>
      <w:keepNext/>
      <w:keepLines/>
      <w:spacing w:line="413" w:lineRule="auto"/>
      <w:outlineLvl w:val="2"/>
    </w:pPr>
    <w:rPr>
      <w:b/>
      <w:sz w:val="32"/>
    </w:rPr>
  </w:style>
  <w:style w:type="character" w:default="1" w:styleId="21">
    <w:name w:val="Default Paragraph Font"/>
    <w:semiHidden/>
    <w:unhideWhenUsed/>
    <w:qFormat/>
    <w:uiPriority w:val="1"/>
  </w:style>
  <w:style w:type="table" w:default="1" w:styleId="1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link w:val="40"/>
    <w:autoRedefine/>
    <w:qFormat/>
    <w:uiPriority w:val="0"/>
    <w:pPr>
      <w:jc w:val="left"/>
    </w:pPr>
  </w:style>
  <w:style w:type="paragraph" w:styleId="6">
    <w:name w:val="Body Text"/>
    <w:basedOn w:val="1"/>
    <w:next w:val="7"/>
    <w:qFormat/>
    <w:uiPriority w:val="0"/>
    <w:pPr>
      <w:spacing w:after="120"/>
    </w:pPr>
  </w:style>
  <w:style w:type="paragraph" w:styleId="7">
    <w:name w:val="Body Text First Indent"/>
    <w:basedOn w:val="6"/>
    <w:next w:val="1"/>
    <w:qFormat/>
    <w:uiPriority w:val="99"/>
    <w:pPr>
      <w:tabs>
        <w:tab w:val="left" w:pos="567"/>
      </w:tabs>
      <w:spacing w:before="0" w:after="120" w:line="240" w:lineRule="auto"/>
      <w:ind w:firstLine="420" w:firstLineChars="100"/>
    </w:pPr>
    <w:rPr>
      <w:sz w:val="21"/>
    </w:rPr>
  </w:style>
  <w:style w:type="paragraph" w:styleId="8">
    <w:name w:val="Body Text Indent"/>
    <w:basedOn w:val="1"/>
    <w:next w:val="9"/>
    <w:autoRedefine/>
    <w:qFormat/>
    <w:uiPriority w:val="0"/>
    <w:pPr>
      <w:spacing w:line="480" w:lineRule="exact"/>
      <w:ind w:firstLine="560" w:firstLineChars="200"/>
    </w:pPr>
    <w:rPr>
      <w:rFonts w:ascii="仿宋_GB2312" w:hAnsi="宋体" w:eastAsia="仿宋_GB2312"/>
      <w:sz w:val="28"/>
      <w:szCs w:val="28"/>
    </w:rPr>
  </w:style>
  <w:style w:type="paragraph" w:customStyle="1" w:styleId="9">
    <w:name w:val="正文 A"/>
    <w:qFormat/>
    <w:uiPriority w:val="0"/>
    <w:pPr>
      <w:widowControl w:val="0"/>
      <w:jc w:val="both"/>
    </w:pPr>
    <w:rPr>
      <w:rFonts w:hint="eastAsia" w:ascii="Arial Unicode MS" w:hAnsi="Arial Unicode MS" w:eastAsia="Arial Unicode MS" w:cs="Arial Unicode MS"/>
      <w:color w:val="000000"/>
      <w:kern w:val="2"/>
      <w:sz w:val="21"/>
      <w:szCs w:val="21"/>
      <w:lang w:val="en-US" w:eastAsia="zh-CN" w:bidi="ar-SA"/>
    </w:rPr>
  </w:style>
  <w:style w:type="paragraph" w:styleId="10">
    <w:name w:val="Plain Text"/>
    <w:basedOn w:val="1"/>
    <w:autoRedefine/>
    <w:qFormat/>
    <w:uiPriority w:val="0"/>
    <w:rPr>
      <w:rFonts w:ascii="宋体" w:hAnsi="Courier New"/>
      <w:kern w:val="0"/>
      <w:sz w:val="20"/>
      <w:szCs w:val="20"/>
    </w:rPr>
  </w:style>
  <w:style w:type="paragraph" w:styleId="11">
    <w:name w:val="Balloon Text"/>
    <w:basedOn w:val="1"/>
    <w:link w:val="39"/>
    <w:qFormat/>
    <w:uiPriority w:val="0"/>
    <w:rPr>
      <w:sz w:val="18"/>
      <w:szCs w:val="18"/>
    </w:rPr>
  </w:style>
  <w:style w:type="paragraph" w:styleId="12">
    <w:name w:val="footer"/>
    <w:basedOn w:val="1"/>
    <w:autoRedefine/>
    <w:qFormat/>
    <w:uiPriority w:val="0"/>
    <w:pPr>
      <w:tabs>
        <w:tab w:val="center" w:pos="4153"/>
        <w:tab w:val="right" w:pos="8306"/>
      </w:tabs>
      <w:snapToGrid w:val="0"/>
      <w:jc w:val="left"/>
    </w:pPr>
    <w:rPr>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semiHidden/>
    <w:qFormat/>
    <w:uiPriority w:val="0"/>
    <w:pPr>
      <w:tabs>
        <w:tab w:val="right" w:leader="dot" w:pos="9060"/>
      </w:tabs>
      <w:spacing w:before="120" w:after="120" w:line="480" w:lineRule="auto"/>
      <w:jc w:val="center"/>
    </w:pPr>
    <w:rPr>
      <w:rFonts w:ascii="仿宋_GB2312" w:eastAsia="仿宋_GB2312"/>
      <w:b/>
      <w:caps/>
      <w:sz w:val="32"/>
      <w:szCs w:val="32"/>
    </w:rPr>
  </w:style>
  <w:style w:type="paragraph" w:styleId="15">
    <w:name w:val="toc 2"/>
    <w:basedOn w:val="1"/>
    <w:next w:val="1"/>
    <w:qFormat/>
    <w:uiPriority w:val="0"/>
    <w:pPr>
      <w:ind w:left="42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annotation subject"/>
    <w:basedOn w:val="5"/>
    <w:next w:val="5"/>
    <w:link w:val="41"/>
    <w:qFormat/>
    <w:uiPriority w:val="0"/>
    <w:rPr>
      <w:b/>
      <w:bCs/>
    </w:rPr>
  </w:style>
  <w:style w:type="paragraph" w:styleId="18">
    <w:name w:val="Body Text First Indent 2"/>
    <w:basedOn w:val="8"/>
    <w:autoRedefine/>
    <w:unhideWhenUsed/>
    <w:qFormat/>
    <w:uiPriority w:val="99"/>
    <w:pPr>
      <w:spacing w:line="240" w:lineRule="auto"/>
      <w:ind w:left="420" w:leftChars="200" w:firstLine="420"/>
    </w:p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qFormat/>
    <w:uiPriority w:val="0"/>
    <w:rPr>
      <w:rFonts w:ascii="Arial Black" w:hAnsi="Arial Black"/>
      <w:sz w:val="18"/>
    </w:rPr>
  </w:style>
  <w:style w:type="character" w:styleId="24">
    <w:name w:val="Hyperlink"/>
    <w:basedOn w:val="21"/>
    <w:qFormat/>
    <w:uiPriority w:val="0"/>
    <w:rPr>
      <w:color w:val="0000FF"/>
      <w:u w:val="single"/>
    </w:rPr>
  </w:style>
  <w:style w:type="character" w:styleId="25">
    <w:name w:val="annotation reference"/>
    <w:basedOn w:val="21"/>
    <w:qFormat/>
    <w:uiPriority w:val="0"/>
    <w:rPr>
      <w:sz w:val="21"/>
      <w:szCs w:val="21"/>
    </w:rPr>
  </w:style>
  <w:style w:type="paragraph" w:styleId="26">
    <w:name w:val="List Paragraph"/>
    <w:basedOn w:val="1"/>
    <w:autoRedefine/>
    <w:qFormat/>
    <w:uiPriority w:val="99"/>
    <w:pPr>
      <w:ind w:left="1140" w:firstLine="420" w:firstLineChars="200"/>
    </w:pPr>
    <w:rPr>
      <w:rFonts w:ascii="Calibri" w:hAnsi="Calibri"/>
      <w:szCs w:val="22"/>
    </w:rPr>
  </w:style>
  <w:style w:type="paragraph" w:customStyle="1" w:styleId="27">
    <w:name w:val="case3"/>
    <w:basedOn w:val="1"/>
    <w:autoRedefine/>
    <w:qFormat/>
    <w:uiPriority w:val="0"/>
    <w:pPr>
      <w:widowControl/>
      <w:spacing w:before="100" w:beforeAutospacing="1" w:after="100" w:afterAutospacing="1" w:line="390" w:lineRule="atLeast"/>
      <w:jc w:val="left"/>
    </w:pPr>
    <w:rPr>
      <w:rFonts w:ascii="Courier New" w:hAnsi="Courier New"/>
      <w:color w:val="000000"/>
      <w:kern w:val="0"/>
      <w:szCs w:val="21"/>
    </w:rPr>
  </w:style>
  <w:style w:type="character" w:customStyle="1" w:styleId="28">
    <w:name w:val="标题 1 字符"/>
    <w:link w:val="2"/>
    <w:autoRedefine/>
    <w:qFormat/>
    <w:uiPriority w:val="0"/>
    <w:rPr>
      <w:b/>
      <w:kern w:val="44"/>
      <w:sz w:val="44"/>
    </w:rPr>
  </w:style>
  <w:style w:type="paragraph" w:customStyle="1" w:styleId="29">
    <w:name w:val="WPSOffice手动目录 1"/>
    <w:autoRedefine/>
    <w:qFormat/>
    <w:uiPriority w:val="0"/>
    <w:rPr>
      <w:rFonts w:ascii="Times New Roman" w:hAnsi="Times New Roman" w:eastAsia="宋体" w:cs="Times New Roman"/>
      <w:lang w:val="en-US" w:eastAsia="zh-CN" w:bidi="ar-SA"/>
    </w:rPr>
  </w:style>
  <w:style w:type="character" w:customStyle="1" w:styleId="30">
    <w:name w:val="标题 2 字符"/>
    <w:link w:val="3"/>
    <w:autoRedefine/>
    <w:qFormat/>
    <w:uiPriority w:val="0"/>
    <w:rPr>
      <w:rFonts w:ascii="Arial" w:hAnsi="Arial" w:eastAsia="黑体"/>
      <w:b/>
      <w:sz w:val="32"/>
    </w:rPr>
  </w:style>
  <w:style w:type="character" w:customStyle="1" w:styleId="31">
    <w:name w:val="font51"/>
    <w:basedOn w:val="21"/>
    <w:autoRedefine/>
    <w:qFormat/>
    <w:uiPriority w:val="0"/>
    <w:rPr>
      <w:rFonts w:hint="eastAsia" w:ascii="仿宋" w:hAnsi="仿宋" w:eastAsia="仿宋" w:cs="仿宋"/>
      <w:color w:val="FF0000"/>
      <w:sz w:val="24"/>
      <w:szCs w:val="24"/>
      <w:u w:val="none"/>
    </w:rPr>
  </w:style>
  <w:style w:type="character" w:customStyle="1" w:styleId="32">
    <w:name w:val="font81"/>
    <w:basedOn w:val="21"/>
    <w:autoRedefine/>
    <w:qFormat/>
    <w:uiPriority w:val="0"/>
    <w:rPr>
      <w:rFonts w:hint="eastAsia" w:ascii="仿宋" w:hAnsi="仿宋" w:eastAsia="仿宋" w:cs="仿宋"/>
      <w:color w:val="000000"/>
      <w:sz w:val="18"/>
      <w:szCs w:val="18"/>
      <w:u w:val="none"/>
    </w:rPr>
  </w:style>
  <w:style w:type="character" w:customStyle="1" w:styleId="33">
    <w:name w:val="font41"/>
    <w:basedOn w:val="21"/>
    <w:autoRedefine/>
    <w:qFormat/>
    <w:uiPriority w:val="0"/>
    <w:rPr>
      <w:rFonts w:hint="eastAsia" w:ascii="宋体" w:hAnsi="宋体" w:eastAsia="宋体" w:cs="宋体"/>
      <w:color w:val="000000"/>
      <w:sz w:val="22"/>
      <w:szCs w:val="22"/>
      <w:u w:val="none"/>
    </w:rPr>
  </w:style>
  <w:style w:type="character" w:customStyle="1" w:styleId="34">
    <w:name w:val="font61"/>
    <w:basedOn w:val="21"/>
    <w:autoRedefine/>
    <w:qFormat/>
    <w:uiPriority w:val="0"/>
    <w:rPr>
      <w:rFonts w:hint="eastAsia" w:ascii="仿宋" w:hAnsi="仿宋" w:eastAsia="仿宋" w:cs="仿宋"/>
      <w:color w:val="000000"/>
      <w:sz w:val="22"/>
      <w:szCs w:val="22"/>
      <w:u w:val="none"/>
    </w:rPr>
  </w:style>
  <w:style w:type="character" w:customStyle="1" w:styleId="35">
    <w:name w:val="font21"/>
    <w:basedOn w:val="21"/>
    <w:autoRedefine/>
    <w:qFormat/>
    <w:uiPriority w:val="0"/>
    <w:rPr>
      <w:rFonts w:hint="eastAsia" w:ascii="仿宋" w:hAnsi="仿宋" w:eastAsia="仿宋" w:cs="仿宋"/>
      <w:color w:val="FF0000"/>
      <w:sz w:val="22"/>
      <w:szCs w:val="22"/>
      <w:u w:val="none"/>
    </w:rPr>
  </w:style>
  <w:style w:type="character" w:customStyle="1" w:styleId="36">
    <w:name w:val="标题 3 字符"/>
    <w:link w:val="4"/>
    <w:autoRedefine/>
    <w:qFormat/>
    <w:uiPriority w:val="0"/>
    <w:rPr>
      <w:b/>
      <w:sz w:val="32"/>
    </w:rPr>
  </w:style>
  <w:style w:type="paragraph" w:customStyle="1" w:styleId="37">
    <w:name w:val="WPSOffice手动目录 2"/>
    <w:autoRedefine/>
    <w:qFormat/>
    <w:uiPriority w:val="0"/>
    <w:pPr>
      <w:ind w:left="200" w:leftChars="200"/>
    </w:pPr>
    <w:rPr>
      <w:rFonts w:ascii="Times New Roman" w:hAnsi="Times New Roman" w:eastAsia="宋体" w:cs="Times New Roman"/>
      <w:lang w:val="en-US" w:eastAsia="zh-CN" w:bidi="ar-SA"/>
    </w:rPr>
  </w:style>
  <w:style w:type="character" w:customStyle="1" w:styleId="38">
    <w:name w:val="font31"/>
    <w:basedOn w:val="21"/>
    <w:autoRedefine/>
    <w:qFormat/>
    <w:uiPriority w:val="0"/>
    <w:rPr>
      <w:rFonts w:ascii="微软雅黑 Light" w:hAnsi="微软雅黑 Light" w:eastAsia="微软雅黑 Light" w:cs="微软雅黑 Light"/>
      <w:color w:val="000000"/>
      <w:sz w:val="16"/>
      <w:szCs w:val="16"/>
      <w:u w:val="none"/>
    </w:rPr>
  </w:style>
  <w:style w:type="character" w:customStyle="1" w:styleId="39">
    <w:name w:val="批注框文本 字符"/>
    <w:basedOn w:val="21"/>
    <w:link w:val="11"/>
    <w:qFormat/>
    <w:uiPriority w:val="0"/>
    <w:rPr>
      <w:kern w:val="2"/>
      <w:sz w:val="18"/>
      <w:szCs w:val="18"/>
    </w:rPr>
  </w:style>
  <w:style w:type="character" w:customStyle="1" w:styleId="40">
    <w:name w:val="批注文字 字符"/>
    <w:basedOn w:val="21"/>
    <w:link w:val="5"/>
    <w:qFormat/>
    <w:uiPriority w:val="0"/>
    <w:rPr>
      <w:kern w:val="2"/>
      <w:sz w:val="21"/>
      <w:szCs w:val="24"/>
    </w:rPr>
  </w:style>
  <w:style w:type="character" w:customStyle="1" w:styleId="41">
    <w:name w:val="批注主题 字符"/>
    <w:basedOn w:val="40"/>
    <w:link w:val="17"/>
    <w:qFormat/>
    <w:uiPriority w:val="0"/>
    <w:rPr>
      <w:kern w:val="2"/>
      <w:sz w:val="21"/>
      <w:szCs w:val="24"/>
    </w:rPr>
  </w:style>
  <w:style w:type="paragraph" w:customStyle="1" w:styleId="42">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43">
    <w:name w:val="标题 1 Char Char"/>
    <w:qFormat/>
    <w:uiPriority w:val="0"/>
    <w:rPr>
      <w:rFonts w:eastAsia="宋体"/>
      <w:b/>
      <w:spacing w:val="-2"/>
      <w:sz w:val="24"/>
      <w:lang w:val="en-US" w:eastAsia="zh-CN" w:bidi="ar-SA"/>
    </w:rPr>
  </w:style>
  <w:style w:type="paragraph" w:customStyle="1" w:styleId="44">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46">
    <w:name w:val="font01"/>
    <w:basedOn w:val="21"/>
    <w:qFormat/>
    <w:uiPriority w:val="0"/>
    <w:rPr>
      <w:rFonts w:hint="eastAsia" w:ascii="宋体" w:hAnsi="宋体" w:eastAsia="宋体" w:cs="宋体"/>
      <w:color w:val="000000"/>
      <w:sz w:val="22"/>
      <w:szCs w:val="22"/>
      <w:u w:val="none"/>
    </w:rPr>
  </w:style>
  <w:style w:type="character" w:customStyle="1" w:styleId="47">
    <w:name w:val="font11"/>
    <w:basedOn w:val="21"/>
    <w:qFormat/>
    <w:uiPriority w:val="0"/>
    <w:rPr>
      <w:rFonts w:hint="eastAsia" w:ascii="宋体" w:hAnsi="宋体" w:eastAsia="宋体" w:cs="宋体"/>
      <w:b/>
      <w:bCs/>
      <w:color w:val="000000"/>
      <w:sz w:val="22"/>
      <w:szCs w:val="22"/>
      <w:u w:val="none"/>
    </w:rPr>
  </w:style>
  <w:style w:type="character" w:customStyle="1" w:styleId="48">
    <w:name w:val="font71"/>
    <w:basedOn w:val="21"/>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9" textRotate="1"/>
    <customShpInfo spid="_x0000_s1032" textRotate="1"/>
    <customShpInfo spid="_x0000_s1033" textRotate="1"/>
    <customShpInfo spid="_x0000_s205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5178</Words>
  <Characters>5452</Characters>
  <Lines>1</Lines>
  <Paragraphs>1</Paragraphs>
  <TotalTime>1</TotalTime>
  <ScaleCrop>false</ScaleCrop>
  <LinksUpToDate>false</LinksUpToDate>
  <CharactersWithSpaces>5520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2021-03-09T09:42:00Z</dcterms:created>
  <dc:creator>王春涛</dc:creator>
  <cp:lastModifiedBy>范昱瑶</cp:lastModifiedBy>
  <cp:lastPrinted>2024-08-20T11:35:00Z</cp:lastPrinted>
  <dcterms:modified xsi:type="dcterms:W3CDTF">2026-07-13T08:21:01Z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B07B756058124D6F993D375982B910DE</vt:lpwstr>
  </property>
  <property fmtid="{D5CDD505-2E9C-101B-9397-08002B2CF9AE}" pid="4" name="KSOTemplateDocerSaveRecord">
    <vt:lpwstr>eyJoZGlkIjoiZmZkMDg1YjEzNjUzYTA4OWQ4NWMwMTE1OTM0NzBhMTMiLCJ1c2VySWQiOiIzNjcwOTU2NjgifQ==</vt:lpwstr>
  </property>
</Properties>
</file>